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MDXG</w:t>
      </w:r>
      <w:r>
        <w:rPr>
          <w:rFonts w:ascii="Calibri" w:hAnsi="Calibri"/>
          <w:b/>
          <w:color w:val="1A2010"/>
          <w:sz w:val="40"/>
        </w:rPr>
        <w:t xml:space="preserve">  MiMedx Group, Inc.</w:t>
      </w:r>
    </w:p>
    <w:p>
      <w:pPr>
        <w:spacing w:after="120"/>
      </w:pPr>
      <w:r>
        <w:rPr>
          <w:rFonts w:ascii="Calibri" w:hAnsi="Calibri"/>
          <w:b/>
          <w:color w:val="6E8450"/>
          <w:sz w:val="18"/>
        </w:rPr>
        <w:t>GROWTH SLEEVE · 2026-09-30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MiMedx Group is a regenerative and therapeutic biologics company focused on developing and marketing placental tissue allografts for surgical, wound care, and regenerative medicine applications. Core products include EPIFIX (for chronic wounds) and AmnioFix (for surgical applications), derived from donated human amniotic tissue. The company reported Q2 2026 revenue of $64.4M, down 35% YoY driven by a 61% collapse in wound care revenue following Medicare reimbursement changes, partially offset by 15% surgical segment growth. MiMedx announced a $350M acquisition of Sanara MedTech to expand into collagen, irrigation, and bone fixation, targeting combined 2027 revenue exceeding $400M. Headquartered in Marietta, Georgia.</w:t>
      </w:r>
    </w:p>
    <w:p>
      <w:r>
        <w:rPr>
          <w:rFonts w:ascii="Calibri" w:hAnsi="Calibri"/>
          <w:b/>
          <w:color w:val="6E8450"/>
          <w:sz w:val="18"/>
        </w:rPr>
        <w:t>700 Employees · https://www.mimedx.com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MiMedx's surgical business grew 15% YoY in Q2 2026 with a 21% increase in the domestic particulate subsegment, representing meaningful expansion into new clinical applications [1]. However, the wound care segment — historically the core business — collapsed 61% YoY following Medicare reimbursement changes, and total revenue fell 35% to $64.4M [1]. The surgical growth is an incremental extension rather than a transformative pivot. AI Deployment (0/2): MiMedx uses Strategy AI for internal analytics and GenAI bots for surfacing insights, but has no customer-facing AI products and no quantified AI-driven savings [3]. Market Share (1/2): MiMedx is a meaningful player in the amniotic tissue allograft market with established surgical and wound care franchises, but competitive pressure from larger orthobiologics companies and regulatory headwinds are eroding positioning [1][2]. Pipeline (1/2): The $350M Sanara MedTech acquisition will add collagen, irrigation, and bone fixation technologies, creating a combined company expected to exceed $400M revenue with 20%+ adjusted EBITDA margin in 2027 [5]. R&amp;D Intensity (0/1): MiMedx is primarily a commercialization-focused company; R&amp;D intensity is below top-quartile for biotech/medtech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MiMedx's purpose centers on regenerative medicine — healing wounds and restoring tissue — which connects to a genuine healthcare mission. However, the company's history of SEC accounting fraud charges (former CEO Petit and COO convicted), allegations of pressuring providers to use medically unnecessary products on wounded veterans and diabetics, and a $6.5M False Claims Act settlement with the VA severely undermine any claim to purposeful operation [4]. Community Impact (0/2): No evidence of significant charitable giving or community investment programs beyond the inherent healthcare value of regenerative medicine products. Employee Retention (0/2): Glassdoor rating of 3.2/5 based on 230 reviews reveals concerning cultural issues including high turnover, unclear expectations, dismissive management, and inconsistent communication [3]. Insider Buying (0/2): No evidence of meaningful net insider buying by CEO Joseph Capper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Profitability metrics have deteriorated significantly since the last screen. ROE declined from 16.6% to 2.88%, scoring 0.19 at 2x weight, reflecting the severe revenue decline and margin compression [6]. Profit margin compressed from 8.8% to 1.76%, scoring 0.09, as wound care volume collapse reduced operating leverage [6]. Revenue growth YoY of -34.7% falls below the -20% floor, scoring 0.0 — the worst possible metric outcome [1]. D/E remains conservatively low at 7.97%, scoring 1.0 (though this will increase with $300M term loan for Sanara acquisition) [6]. Forward P/E of 23.35 is above the 20x target, scoring 0.92 [6]. Revenue growth 5yr CAGR of approximately 4% scores 0.60 at 2x weight. Weighted sum: 3.59/8 = Infrastructure score of 4. Daily liquidity of ~$5.7M passes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MiMedx demonstrates predominantly finite game characteristics despite operating in a purpose-rich healthcare segment. The company's history of SEC accounting fraud convictions, False Claims Act settlement ($6.5M with the VA), allegations of predatory sales practices targeting vulnerable patients, and Glassdoor-documented cultural dysfunction reveal an organization that has prioritized short-term revenue over sustainable value creation. CEO Capper is executing a necessary strategic pivot toward surgical biologics and the Sanara acquisition, but 3.5 years of new leadership has not yet overcome the institutional legacy of fraud and dysfunction.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MiMedx operates in regenerative medicine with potential for genuine societal impact — healing chronic wounds in veterans, diabetics, and surgical patients. However, the SEC's accounting fraud charges against former CEO Petit and COO for inflating revenue through undisclosed distributor arrangements, combined with the $6.5M False Claims Act settlement with the VA and allegations of pressuring providers to use unnecessary products on vulnerable patients, demonstrate that the company historically operated to maximize revenue rather than advance a healing mission [4]. Under CEO Capper since 2023, the cause remains shallow and unproven.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230 reviews) describe persistent issues with leadership communication, high turnover, unclear expectations, and management dismissiveness toward employee input [3]. The legacy of executive-level fraud (former CEO and COO convicted) creates deep institutional distrust. The 35% revenue decline and ongoing business restructuring add job insecurity. No evidence of employee empowerment, long tenure, or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MiMedx's competitive language focuses on market position and product advantage rather than learning from rivals. The company's history of aggressive non-compete litigation against former employees and predatory sales practice allegations suggest a finite, win-at-all-costs competitive approach rather than Sinek's model of competitive self-improvement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MiMedx is executing a significant strategic pivot from wound care (collapsed 61% YoY in Q2 2026 following Medicare changes) toward surgical biologics, which grew 15% YoY [1]. The $350M Sanara MedTech acquisition further transforms the product portfolio into collagen, irrigation, and bone fixation [5]. Sequential revenue growth of 9% Q1-to-Q2 shows early stabilization. While these moves demonstrate real strategic flexibility, the wound care pivot was forced by regulatory changes rather than proactive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Joseph Capper has made courageous decisions under difficult circumstances — pursuing the $350M Sanara MedTech acquisition while navigating a 61% wound care revenue collapse, choosing to invest in the surgical platform despite near-term earnings pressure [1][5]. Capper's track record at BioTelemetry, which he turned around and sold to Philips for $2.8B, demonstrates a pattern of long-term value creation [3]. However, his tenure at MiMedx is only 3.5 years and the company's fundamental turnaround is incomplete.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MiMedx is executing a strategic pivot from its collapsing wound care business toward higher-growth surgical biologics, with the surgical segment delivering 15% YoY growth and 21% domestic particulate growth in Q2 2026 [1]. The transformative $350M Sanara MedTech acquisition will create a combined company exceeding $400M revenue with 20%+ adjusted EBITDA margins in 2027, adding complementary collagen, irrigation, and bone fixation technologies [5]. Sequential revenue growth of 9% from Q1 to Q2 suggests early wound care stabilization. The balance sheet remains conservatively managed with D/E of just 8% pre-acquisition, and Forward P/E of 23.4x implies analysts expect meaningful earnings recovery. The Inspire Impact Score of 29 (ALIGNED) reflects the company's regenerative medicine contributions to patient welfare.</w:t>
      </w:r>
    </w:p>
    <w:p>
      <w:pPr>
        <w:spacing w:after="120"/>
      </w:pPr>
      <w:r>
        <w:rPr>
          <w:rFonts w:ascii="Calibri" w:hAnsi="Calibri"/>
          <w:b w:val="0"/>
          <w:color w:val="3A4A28"/>
          <w:sz w:val="20"/>
        </w:rPr>
        <w:t>The bear case is severe: wound care revenue collapsed 61% YoY in Q2 2026 following Medicare reimbursement changes, dragging total revenue down 35% to $64.4M and compressing profit margin to 1.76% [1][6]. Trailing P/E of 116.8x reflects near-total earnings erosion, and ROE has declined from 16.6% to 2.9%. The Sanara acquisition introduces $300M in new debt, integration risk, and management distraction during the most challenging period in the company's operating history [5]. The governance legacy is deeply concerning — former CEO and COO were convicted of securities fraud, the company settled $6.5M in False Claims Act allegations with the VA, and ongoing litigation over predatory sales practices and Axiofill FDA compliance creates persistent legal tail risk [4]. Glassdoor's 3.2/5 rating signals cultural challenges that could impair Sanara integration. The stock at $4.67 prices in meaningful recovery but the margin of safety is thin.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Sanara MedTech acquisition closing expected by year-end 2026, creating a combined platform exceeding $400M revenue with 20%+ EBITDA margins and complementary product portfolios in collagen, irrigation, and bone fixation [5]</w:t>
      </w:r>
    </w:p>
    <w:p>
      <w:pPr>
        <w:spacing w:before="40" w:after="40"/>
        <w:ind w:left="283"/>
      </w:pPr>
      <w:r>
        <w:rPr>
          <w:rFonts w:ascii="Calibri" w:hAnsi="Calibri"/>
          <w:b/>
          <w:color w:val="4A6B25"/>
          <w:sz w:val="20"/>
        </w:rPr>
        <w:t xml:space="preserve">2. </w:t>
      </w:r>
      <w:r>
        <w:rPr>
          <w:rFonts w:ascii="Calibri" w:hAnsi="Calibri"/>
          <w:b w:val="0"/>
          <w:color w:val="3A4A28"/>
          <w:sz w:val="20"/>
        </w:rPr>
        <w:t>Surgical biologics segment sustaining 15%+ YoY growth driven by domestic particulate subsegment strength (21% growth) and expansion into new surgical applications [1]</w:t>
      </w:r>
    </w:p>
    <w:p>
      <w:pPr>
        <w:spacing w:before="40" w:after="40"/>
        <w:ind w:left="283"/>
      </w:pPr>
      <w:r>
        <w:rPr>
          <w:rFonts w:ascii="Calibri" w:hAnsi="Calibri"/>
          <w:b/>
          <w:color w:val="4A6B25"/>
          <w:sz w:val="20"/>
        </w:rPr>
        <w:t xml:space="preserve">3. </w:t>
      </w:r>
      <w:r>
        <w:rPr>
          <w:rFonts w:ascii="Calibri" w:hAnsi="Calibri"/>
          <w:b w:val="0"/>
          <w:color w:val="3A4A28"/>
          <w:sz w:val="20"/>
        </w:rPr>
        <w:t>Wound care revenue stabilization as Medicare reimbursement changes are fully absorbed — Q1-to-Q2 sequential revenue growth of 9% suggests the trough may be forming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Wound care revenue decline may not stabilize — Medicare reimbursement changes represent a structural shift that has already collapsed the segment 61% YoY, and competitive pressure from larger players could further erode share [1]</w:t>
      </w:r>
    </w:p>
    <w:p>
      <w:pPr>
        <w:spacing w:before="40" w:after="40"/>
        <w:ind w:left="283"/>
      </w:pPr>
      <w:r>
        <w:rPr>
          <w:rFonts w:ascii="Calibri" w:hAnsi="Calibri"/>
          <w:b/>
          <w:color w:val="4A6B25"/>
          <w:sz w:val="20"/>
        </w:rPr>
        <w:t xml:space="preserve">2. </w:t>
      </w:r>
      <w:r>
        <w:rPr>
          <w:rFonts w:ascii="Calibri" w:hAnsi="Calibri"/>
          <w:b w:val="0"/>
          <w:color w:val="3A4A28"/>
          <w:sz w:val="20"/>
        </w:rPr>
        <w:t>Integration risk from the $350M Sanara acquisition, including $300M new debt transforming the balance sheet from net cash to leveraged, at a time when core profitability has nearly vanished (profit margin 1.76%, ROE 2.88%) [5][6]</w:t>
      </w:r>
    </w:p>
    <w:p>
      <w:pPr>
        <w:spacing w:before="40" w:after="40"/>
        <w:ind w:left="283"/>
      </w:pPr>
      <w:r>
        <w:rPr>
          <w:rFonts w:ascii="Calibri" w:hAnsi="Calibri"/>
          <w:b/>
          <w:color w:val="4A6B25"/>
          <w:sz w:val="20"/>
        </w:rPr>
        <w:t xml:space="preserve">3. </w:t>
      </w:r>
      <w:r>
        <w:rPr>
          <w:rFonts w:ascii="Calibri" w:hAnsi="Calibri"/>
          <w:b w:val="0"/>
          <w:color w:val="3A4A28"/>
          <w:sz w:val="20"/>
        </w:rPr>
        <w:t>Governance and legal tail risk from the company's history of SEC fraud convictions, $6.5M VA False Claims Act settlement, Axiofill FDA compliance disputes, and ongoing predatory sales practice litigation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MiMedx's core business — manufacturing and distributing placental tissue allografts for surgical and wound care applications — involves physical biological products that AI structurally cannot replace [1]. FDA-regulated biologics require complex manufacturing from donated human tissue, sterile processing, and clinical validation that create high barriers to AI substitution. Surgical application of tissue allografts requires hands-on physician skill that AI cannot replicate. The modest exposure is that AI-powered diagnostic tools could eventually optimize wound care protocols and reduce unnecessary procedures, potentially compressing demand in the wound care segment [1]. AI Opportunity (0/1): MiMedx uses Strategy AI and GenAI bots internally for analytics, but generates no revenue from AI products or services [3]. No quantified AI-related cost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MiMedx Group Q2 2026 Earnings Call — Revenue $64.4M (-35% YoY), Surgical $39.3M (+15%), Wound $25.1M (-61%), Sequential Growth 9%; Motley Fool /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MiMedx 2026 Revenue Guidance $340-360M and Q1 2026 Earnings Report — Seeking Alpha / StockTitan, April 2026</w:t>
      </w:r>
    </w:p>
    <w:p>
      <w:pPr>
        <w:spacing w:before="20" w:after="20"/>
        <w:ind w:left="170"/>
      </w:pPr>
      <w:r>
        <w:rPr>
          <w:rFonts w:ascii="Calibri" w:hAnsi="Calibri"/>
          <w:b/>
          <w:color w:val="4A6B25"/>
          <w:sz w:val="15"/>
        </w:rPr>
        <w:t xml:space="preserve">3. </w:t>
      </w:r>
      <w:r>
        <w:rPr>
          <w:rFonts w:ascii="Calibri" w:hAnsi="Calibri"/>
          <w:b w:val="0"/>
          <w:color w:val="3A4A28"/>
          <w:sz w:val="17"/>
        </w:rPr>
        <w:t>MiMedx Group CEO Joseph Capper Leadership, Strategy AI Implementation, Glassdoor Rating 3.2/5 — MiMedx Corporate /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SEC Charges MiMedx with Accounting Fraud (2019); $6.5M VA False Claims Act Settlement; Ex-Employee Predatory Sales Allegations; Axiofill FDA Dispute — SEC.gov, DOJ, PRNewswire, AJC, 2019-2024</w:t>
      </w:r>
    </w:p>
    <w:p>
      <w:pPr>
        <w:spacing w:before="20" w:after="20"/>
        <w:ind w:left="170"/>
      </w:pPr>
      <w:r>
        <w:rPr>
          <w:rFonts w:ascii="Calibri" w:hAnsi="Calibri"/>
          <w:b/>
          <w:color w:val="4A6B25"/>
          <w:sz w:val="15"/>
        </w:rPr>
        <w:t xml:space="preserve">5. </w:t>
      </w:r>
      <w:r>
        <w:rPr>
          <w:rFonts w:ascii="Calibri" w:hAnsi="Calibri"/>
          <w:b w:val="0"/>
          <w:color w:val="3A4A28"/>
          <w:sz w:val="17"/>
        </w:rPr>
        <w:t>MiMedx to Acquire Sanara MedTech for $350M — Combined 2027 Revenue &gt;$400M, 20%+ EBITDA Margins — GlobeNewsWire / MiMedx Investor Relations, July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MDXG Key Statistics: Stock Price $4.67, P/E 116.75, Forward P/E 23.35, D/E 7.97%, ROE 2.88%, Profit Margin 1.76%, Avg Volume 1.22M;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