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METC</w:t>
      </w:r>
      <w:r>
        <w:rPr>
          <w:rFonts w:ascii="Calibri" w:hAnsi="Calibri"/>
          <w:b/>
          <w:color w:val="1A2010"/>
          <w:sz w:val="40"/>
        </w:rPr>
        <w:t xml:space="preserve">  Ramaco Resources, Inc.</w:t>
      </w:r>
    </w:p>
    <w:p>
      <w:pPr>
        <w:spacing w:after="120"/>
      </w:pPr>
      <w:r>
        <w:rPr>
          <w:rFonts w:ascii="Calibri" w:hAnsi="Calibri"/>
          <w:b/>
          <w:color w:val="6E8450"/>
          <w:sz w:val="18"/>
        </w:rPr>
        <w:t>GROWTH SLEEVE · 2026-09-06 · Inspire: 37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Coking Coal · NasdaqGS · United States</w:t>
      </w:r>
    </w:p>
    <w:p>
      <w:pPr>
        <w:spacing w:after="80"/>
      </w:pPr>
      <w:r>
        <w:rPr>
          <w:rFonts w:ascii="Calibri" w:hAnsi="Calibri"/>
          <w:b w:val="0"/>
          <w:color w:val="3A4A28"/>
          <w:sz w:val="20"/>
        </w:rPr>
        <w:t>Ramaco Resources is a dual-platform company operating as a producer of high-quality, low-cost metallurgical coal in Central Appalachia and a developing producer of rare earth elements and critical minerals from coal deposits in Wyoming. Approximately two-thirds of met coal production is exported. The Brook Mine project in Sheridan, Wyoming represents a potentially transformative rare earth initiative, with proprietary carbochlorination processing technology, DOE NETL partnership, and an MOU with REalloys. FY2025 revenue was $536.6M (down 19.5%) with a net loss of $51.4M.</w:t>
      </w:r>
    </w:p>
    <w:p>
      <w:r>
        <w:rPr>
          <w:rFonts w:ascii="Calibri" w:hAnsi="Calibri"/>
          <w:b/>
          <w:color w:val="6E8450"/>
          <w:sz w:val="18"/>
        </w:rPr>
        <w:t>900 Employees · https://www.ramacoresources.com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Ramaco's core met coal business delivered declining results with FY2025 revenue of $536.6M (down 19.5% from $666.3M) and a full-year net loss of $51.4M [1]. Q2 2026 revenue of $144.8M beat forecasts ($134.82M) but EPS loss of $0.26 missed estimates, with adjusted EBITDA remaining negative [3]. The core commodity business shows no innovative differentiation. AI Deployment (0/2): No evidence of AI-powered products, mining automation, or quantified AI-driven operational efficiencies. Ramaco hired Dr. Vishnu Sundaresan as SVP of Technology for rare earth and carbon products activities, but this is R&amp;D, not AI deployment [5]. Market Share (1/2): Ramaco is a recognized mid-tier US met coal producer with 2026 guidance of 3.7-4.1M production tons and 4.1-4.5M sales tons, positioned as a low-cost operator at $95-100/ton cash cost [1][3]. No pricing power in a global commodity market, though low-cost position provides relative advantage. Product Pipeline (2/2): The Brook Mine rare earth project represents genuinely innovative diversification with a proprietary carbochlorination flowsheet (patent-pending alternative to conventional solvent extraction), MOU with REalloys for MREC supply, CRADA with DOE NETL, pilot processing plant under construction, and strategic shift toward higher-value mixed rare earth carbonate production [4][6]. R&amp;D Intensity (1/1): Proprietary carbochlorination technology development, DOE partnership, SVP of Technology hire, and ongoing rare earth extraction research represent R&amp;D investment far above coal industry norms [4][5].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Ramaco's strategic evolution from pure met coal to critical minerals has genuine national security significance — building domestic REE supply to reduce U.S. dependence on China [4][5]. CEO Atkins' appointment to the National Coal Council by Secretary of Energy Wright and his speech at the IEA-IEF-OPEC Symposium on 'Renaissance of Coal in the Age of Carbon Products and AI' demonstrate policy-level engagement [5]. However, the company has not articulated a mission that transcends its economic interests — the critical minerals pivot is a diversification strategy, not a cause. Community Impact (1/2): Coal mining operations in Central Appalachia provide employment in economically challenged communities, and the Brook Mine project creates additional rural economic opportunity in Wyoming. Inspire Impact Score of 37 (ALIGNED) with 13 positive ESG attributions reflects responsible practices [7]. No specific philanthropic programs or dollar amounts identified. Employee Retention (0/2): Only 900 employees with average management tenure of ~3.3 years; the leadership team is relatively new following 2024 restructuring with four new executive hires [5]. No employee satisfaction, retention, or culture data identified. Mining industry turnover is typically high. Insider Buying (0/2): Director Bryan Lawrence sold $27.9M in stock in March 2026, representing massive net insider selling despite CEO Atkins maintaining ownership alignment [2]. The $37M corporate share repurchase in Q1 2026 does not offset personal insider selling under the rubric.</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Ramaco's financial profile remains under severe stress. FY2025 revenue declined 19.5% to $536.6M with a net loss of $51.4M, and Q2 2026 continued with an EPS loss of $0.26 on revenue of $144.8M [1][3]. D/E of 97% is elevated but improved from 107.3% at prior screen (score 0.88) [8]. ROE of -12.16% contributes zero (2x weight). Revenue decline of -19.5% YoY is near the -20% floor (score 0.02). Profit margin of approximately -9.6% contributes zero. Forward PE is not meaningful with negative earnings (set to null, excluded). PEG ratio is not calculable with negative earnings (excluded). The company maintains $440M in cash against $470M in debt. Average daily volume of ~1.5M shares at $14.10 yields ~$21M daily dollar volume, passing the liquidity floor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Ramaco displays a mixed infinite game profile driven by the contrast between a bold strategic pivot and near-term financial stress. The Brook Mine rare earth development — with proprietary technology, DOE partnership, and $1B raised — represents genuine long-term thinking by CEO Atkins [4][5]. However, the core met coal business is losing money, the company pays dividends from operating losses, average management tenure is only 3.3 years, and massive insider selling by a board director undermines the long-term conviction narrative.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Ramaco's dual-platform positioning serves two purposes — supplying met coal to global steelmakers and building a domestic REE supply chain to reduce U.S. dependence on China [4][5]. CEO Atkins' speech on 'Renaissance of Coal' and National Coal Council appointment reflect policy engagement. However, the critical minerals pivot is primarily a diversification and value creation strategy rather than a cause-driven initiative. The company has not articulated a purpose that transcends its economic interests or that would survive if the REE opportunity disappeared.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900 employees and average management tenure of ~3.3 years following 2024 leadership restructuring with four new executive hires, the organizational culture is still developing [5]. Mining operations in Central Appalachia face industry-wide recruitment and retention challenges. Prior employee reviews noted a 'professional and kind' workplace with genuine safety culture, which is meaningful in coal mining. CEO Atkins has been involved since 2015, providing some continuity despite the broader team being relatively new.</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Ramaco competes against other met coal producers (Arch Resources, Warrior Met Coal) and potentially against Chinese rare earth producers in its emerging critical minerals business. No evidence of management articulating how competitors' strengths inform Ramaco's strategy. Investor communications focus on production volumes, costs, and pricing without reference to learning from peers — a finite competitive orientation typical of commodity producers.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Ramaco's pivot from pure metallurgical coal producer to dual-platform critical minerals company represents genuine transformative flexibility. The company raised nearly $1B to invest in the Brook Mine rare earth project, developed a proprietary carbochlorination processing technology (patent-pending), signed MOUs with REalloys for MREC supply, executed a CRADA with DOE NETL, and broke ground on a pilot processing plant [4][6]. Strategically shifting toward higher-value mixed rare earth carbonate while the core coal operation is unprofitable demonstrates willingness to fundamentally reinvent the company in service of a long-term vision.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Atkins has made bold capital allocation decisions — investing heavily in the Brook Mine REE pivot, developing proprietary processing technology, and maintaining the critical minerals investment while the core met coal business operates at a loss [3][5]. However, paying dividends (2.6% yield) while unprofitable, repurchasing $37M in shares during Q1 2026 despite negative EBITDA, and tolerating $27.9M in insider selling by a board director raise questions about capital allocation discipline and whether all leadership shares the long-term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Ramaco Resources is a speculative dual-platform story — a struggling met coal producer making a bold pivot into rare earth elements and critical minerals. The core met coal business generated $536.6M in FY2025 revenue (down 19.5%) with a $51.4M net loss, while Q2 2026 showed sequential improvement with $144.8M revenue beating estimates but a continued $0.26 EPS loss [1][3]. The investment case rests on the Brook Mine rare earth project, where Ramaco has developed proprietary carbochlorination processing technology, partnered with DOE NETL, signed an MOU with REalloys for MREC supply, and raised nearly $1B for development [4][6]. Analysts have raised fair value estimates from $27 to $50, reflecting the critical minerals optionality [8]. The national security thesis is compelling — U.S. dependence on Chinese rare earth supply is a strategic vulnerability, and CEO Atkins' appointment to the National Coal Council positions Ramaco at the policy-commercial intersection.</w:t>
      </w:r>
    </w:p>
    <w:p>
      <w:pPr>
        <w:spacing w:after="120"/>
      </w:pPr>
      <w:r>
        <w:rPr>
          <w:rFonts w:ascii="Calibri" w:hAnsi="Calibri"/>
          <w:b w:val="0"/>
          <w:color w:val="3A4A28"/>
          <w:sz w:val="20"/>
        </w:rPr>
        <w:t>The fundamental challenge is that Ramaco is a commodity met coal company with deeply negative financials — negative profit margin, -12.16% ROE, revenue declining 19.5% — attempting a capital-intensive technology pivot into unproven rare earth processing [1][3]. The Brook Mine carbochlorination flowsheet has not been demonstrated at commercial scale, and the strategic shift toward mixed rare earth carbonate adds technological risk. D/E of 97% is elevated for a cyclical commodity business in a downturn, and the company is paying a 2.6% dividend and repurchased $37M in shares while operating at a loss — capital allocation that prioritizes shareholder appeasement over financial prudence [3]. Met coal pricing remains depressed with limited near-term recovery catalysts, and the global met coal market faces secular headwinds from electric arc furnace steelmaking and hydrogen-based direct reduction. Director Lawrence's $27.9M in stock sales undermines the insider conviction narrative despite the corporate buyback activity.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commissioning of the Brook Mine pilot processing plant and validation of proprietary carbochlorination technology at scale, which would de-risk the critical minerals thesis and potentially trigger significant re-rating toward the $50 analyst fair value</w:t>
      </w:r>
    </w:p>
    <w:p>
      <w:pPr>
        <w:spacing w:before="40" w:after="40"/>
        <w:ind w:left="283"/>
      </w:pPr>
      <w:r>
        <w:rPr>
          <w:rFonts w:ascii="Calibri" w:hAnsi="Calibri"/>
          <w:b/>
          <w:color w:val="4A6B25"/>
          <w:sz w:val="20"/>
        </w:rPr>
        <w:t xml:space="preserve">2. </w:t>
      </w:r>
      <w:r>
        <w:rPr>
          <w:rFonts w:ascii="Calibri" w:hAnsi="Calibri"/>
          <w:b w:val="0"/>
          <w:color w:val="3A4A28"/>
          <w:sz w:val="20"/>
        </w:rPr>
        <w:t>U.S. government policy support for domestic critical minerals production — DOE grants, tax credits, strategic reserves purchases, or defense procurement mandates — accelerating Brook Mine commercialization</w:t>
      </w:r>
    </w:p>
    <w:p>
      <w:pPr>
        <w:spacing w:before="40" w:after="40"/>
        <w:ind w:left="283"/>
      </w:pPr>
      <w:r>
        <w:rPr>
          <w:rFonts w:ascii="Calibri" w:hAnsi="Calibri"/>
          <w:b/>
          <w:color w:val="4A6B25"/>
          <w:sz w:val="20"/>
        </w:rPr>
        <w:t xml:space="preserve">3. </w:t>
      </w:r>
      <w:r>
        <w:rPr>
          <w:rFonts w:ascii="Calibri" w:hAnsi="Calibri"/>
          <w:b w:val="0"/>
          <w:color w:val="3A4A28"/>
          <w:sz w:val="20"/>
        </w:rPr>
        <w:t>Recovery in global metallurgical coal pricing driven by infrastructure spending or supply disruptions, restoring core business profitability and self-funding the REE pivot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Core met coal business is unprofitable with -9.6% profit margin, -19.5% revenue decline, and negative EBITDA, creating cash burn that could force dilutive capital raises or compromise the rare earth pivot timeline</w:t>
      </w:r>
    </w:p>
    <w:p>
      <w:pPr>
        <w:spacing w:before="40" w:after="40"/>
        <w:ind w:left="283"/>
      </w:pPr>
      <w:r>
        <w:rPr>
          <w:rFonts w:ascii="Calibri" w:hAnsi="Calibri"/>
          <w:b/>
          <w:color w:val="4A6B25"/>
          <w:sz w:val="20"/>
        </w:rPr>
        <w:t xml:space="preserve">2. </w:t>
      </w:r>
      <w:r>
        <w:rPr>
          <w:rFonts w:ascii="Calibri" w:hAnsi="Calibri"/>
          <w:b w:val="0"/>
          <w:color w:val="3A4A28"/>
          <w:sz w:val="20"/>
        </w:rPr>
        <w:t>Brook Mine rare earth project is pre-revenue with unproven processing technology — the carbochlorination flowsheet has not been demonstrated at commercial scale, and the shift toward MREC adds technological complexity and execution risk</w:t>
      </w:r>
    </w:p>
    <w:p>
      <w:pPr>
        <w:spacing w:before="40" w:after="40"/>
        <w:ind w:left="283"/>
      </w:pPr>
      <w:r>
        <w:rPr>
          <w:rFonts w:ascii="Calibri" w:hAnsi="Calibri"/>
          <w:b/>
          <w:color w:val="4A6B25"/>
          <w:sz w:val="20"/>
        </w:rPr>
        <w:t xml:space="preserve">3. </w:t>
      </w:r>
      <w:r>
        <w:rPr>
          <w:rFonts w:ascii="Calibri" w:hAnsi="Calibri"/>
          <w:b w:val="0"/>
          <w:color w:val="3A4A28"/>
          <w:sz w:val="20"/>
        </w:rPr>
        <w:t>Paying dividends and repurchasing shares while operating at a loss, combined with $27.9M in insider selling by a board director, raises capital allocation discipline and insider conviction concerns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Ramaco's core businesses — underground metallurgical coal mining and rare earth element extraction — are fundamentally physical operations that AI cannot substitute [1]. Mining requires geological expertise, heavy equipment operation in underground environments, safety management, and physical processing of extracted materials. The commodity nature of met coal means the product has no AI-related obsolescence — steel production requires met coal as a chemical reductant regardless of AI advancement. The Brook Mine REE project is equally physical, involving mineral extraction, chemical processing (carbochlorination), and supply chain logistics [4]. The indirect risk — AI accelerating hydrogen-based direct reduction iron steelmaking — is a multi-decade transition, not a near-term threat. Physical extraction industries remain among the most AI-immune business models. AI Opportunity (0/1): No AI-specific revenue or products deployed. AI could theoretically enhance mining through predictive maintenance and geological modeling, but Ramaco has not disclosed any AI initiatives.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Ramaco Resources FY2025 Fourth Quarter and Full-Year Results — PR Newswire, February 2026</w:t>
      </w:r>
    </w:p>
    <w:p>
      <w:pPr>
        <w:spacing w:before="20" w:after="20"/>
        <w:ind w:left="170"/>
      </w:pPr>
      <w:r>
        <w:rPr>
          <w:rFonts w:ascii="Calibri" w:hAnsi="Calibri"/>
          <w:b/>
          <w:color w:val="4A6B25"/>
          <w:sz w:val="15"/>
        </w:rPr>
        <w:t xml:space="preserve">2. </w:t>
      </w:r>
      <w:r>
        <w:rPr>
          <w:rFonts w:ascii="Calibri" w:hAnsi="Calibri"/>
          <w:b w:val="0"/>
          <w:color w:val="3A4A28"/>
          <w:sz w:val="17"/>
        </w:rPr>
        <w:t>Ramaco Resources Q1 2026 Earnings Release — PR Newswire, July 2026</w:t>
      </w:r>
    </w:p>
    <w:p>
      <w:pPr>
        <w:spacing w:before="20" w:after="20"/>
        <w:ind w:left="170"/>
      </w:pPr>
      <w:r>
        <w:rPr>
          <w:rFonts w:ascii="Calibri" w:hAnsi="Calibri"/>
          <w:b/>
          <w:color w:val="4A6B25"/>
          <w:sz w:val="15"/>
        </w:rPr>
        <w:t xml:space="preserve">3. </w:t>
      </w:r>
      <w:r>
        <w:rPr>
          <w:rFonts w:ascii="Calibri" w:hAnsi="Calibri"/>
          <w:b w:val="0"/>
          <w:color w:val="3A4A28"/>
          <w:sz w:val="17"/>
        </w:rPr>
        <w:t>Ramaco Resources Q2 2026 Earnings — Revenue $144.8M (beat), EPS loss $0.26 (miss) — Investing.com transcript, August 2026</w:t>
      </w:r>
    </w:p>
    <w:p>
      <w:pPr>
        <w:spacing w:before="20" w:after="20"/>
        <w:ind w:left="170"/>
      </w:pPr>
      <w:r>
        <w:rPr>
          <w:rFonts w:ascii="Calibri" w:hAnsi="Calibri"/>
          <w:b/>
          <w:color w:val="4A6B25"/>
          <w:sz w:val="15"/>
        </w:rPr>
        <w:t xml:space="preserve">4. </w:t>
      </w:r>
      <w:r>
        <w:rPr>
          <w:rFonts w:ascii="Calibri" w:hAnsi="Calibri"/>
          <w:b w:val="0"/>
          <w:color w:val="3A4A28"/>
          <w:sz w:val="17"/>
        </w:rPr>
        <w:t>Ramaco Resources Brook Mine REE Development, Carbochlorination Flowsheet, and DOE NETL CRADA — SEC Filings and PR Newswire, 2025-2026</w:t>
      </w:r>
    </w:p>
    <w:p>
      <w:pPr>
        <w:spacing w:before="20" w:after="20"/>
        <w:ind w:left="170"/>
      </w:pPr>
      <w:r>
        <w:rPr>
          <w:rFonts w:ascii="Calibri" w:hAnsi="Calibri"/>
          <w:b/>
          <w:color w:val="4A6B25"/>
          <w:sz w:val="15"/>
        </w:rPr>
        <w:t xml:space="preserve">5. </w:t>
      </w:r>
      <w:r>
        <w:rPr>
          <w:rFonts w:ascii="Calibri" w:hAnsi="Calibri"/>
          <w:b w:val="0"/>
          <w:color w:val="3A4A28"/>
          <w:sz w:val="17"/>
        </w:rPr>
        <w:t>Ramaco Leadership Structure — CEO Randall Atkins profile, SVP Technology hire, National Coal Council Appointment, IEA-IEF-OPEC Symposium Speech</w:t>
      </w:r>
    </w:p>
    <w:p>
      <w:pPr>
        <w:spacing w:before="20" w:after="20"/>
        <w:ind w:left="170"/>
      </w:pPr>
      <w:r>
        <w:rPr>
          <w:rFonts w:ascii="Calibri" w:hAnsi="Calibri"/>
          <w:b/>
          <w:color w:val="4A6B25"/>
          <w:sz w:val="15"/>
        </w:rPr>
        <w:t xml:space="preserve">6. </w:t>
      </w:r>
      <w:r>
        <w:rPr>
          <w:rFonts w:ascii="Calibri" w:hAnsi="Calibri"/>
          <w:b w:val="0"/>
          <w:color w:val="3A4A28"/>
          <w:sz w:val="17"/>
        </w:rPr>
        <w:t>Ramaco Resources REalloys MOU for MREC Supply and Critical Minerals Strategy — PR Newswire / Finimize, 2025-2026</w:t>
      </w:r>
    </w:p>
    <w:p>
      <w:pPr>
        <w:spacing w:before="20" w:after="20"/>
        <w:ind w:left="170"/>
      </w:pPr>
      <w:r>
        <w:rPr>
          <w:rFonts w:ascii="Calibri" w:hAnsi="Calibri"/>
          <w:b/>
          <w:color w:val="4A6B25"/>
          <w:sz w:val="15"/>
        </w:rPr>
        <w:t xml:space="preserve">7. </w:t>
      </w:r>
      <w:r>
        <w:rPr>
          <w:rFonts w:ascii="Calibri" w:hAnsi="Calibri"/>
          <w:b w:val="0"/>
          <w:color w:val="3A4A28"/>
          <w:sz w:val="17"/>
        </w:rPr>
        <w:t>Inspire Insight — METC ESG Impact Assessment, accessed September 2026</w:t>
      </w:r>
    </w:p>
    <w:p>
      <w:pPr>
        <w:spacing w:before="20" w:after="20"/>
        <w:ind w:left="170"/>
      </w:pPr>
      <w:r>
        <w:rPr>
          <w:rFonts w:ascii="Calibri" w:hAnsi="Calibri"/>
          <w:b/>
          <w:color w:val="4A6B25"/>
          <w:sz w:val="15"/>
        </w:rPr>
        <w:t xml:space="preserve">8. </w:t>
      </w:r>
      <w:r>
        <w:rPr>
          <w:rFonts w:ascii="Calibri" w:hAnsi="Calibri"/>
          <w:b w:val="0"/>
          <w:color w:val="3A4A28"/>
          <w:sz w:val="17"/>
        </w:rPr>
        <w:t>StockAnalysis.com — METC key statistics, valuation, and analyst targets,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