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MFC</w:t>
      </w:r>
      <w:r>
        <w:rPr>
          <w:rFonts w:ascii="Calibri" w:hAnsi="Calibri"/>
          <w:b/>
          <w:color w:val="1A2010"/>
          <w:sz w:val="40"/>
        </w:rPr>
        <w:t xml:space="preserve">  Manulife Financial Corporation</w:t>
      </w:r>
    </w:p>
    <w:p>
      <w:pPr>
        <w:spacing w:after="120"/>
      </w:pPr>
      <w:r>
        <w:rPr>
          <w:rFonts w:ascii="Calibri" w:hAnsi="Calibri"/>
          <w:b/>
          <w:color w:val="6E8450"/>
          <w:sz w:val="18"/>
        </w:rPr>
        <w:t>DIVIDEND SLEEVE · 2026-09-08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Life · NYSE · Canada</w:t>
      </w:r>
    </w:p>
    <w:p>
      <w:pPr>
        <w:spacing w:after="80"/>
      </w:pPr>
      <w:r>
        <w:rPr>
          <w:rFonts w:ascii="Calibri" w:hAnsi="Calibri"/>
          <w:b w:val="0"/>
          <w:color w:val="3A4A28"/>
          <w:sz w:val="20"/>
        </w:rPr>
        <w:t>Manulife Financial Corporation is a leading international financial services group providing insurance, wealth and asset management, and banking solutions to individuals and institutions across Canada, the United States, and Asia. Founded in 1887, Manulife operates as John Hancock in the U.S. and Manulife Investment Management globally. CEO Phil Witherington leads an Asia-focused growth strategy, with Q2 2026 core earnings of $1.9B (+12%), net income of $2.1B, and core ROE of 16.3%. Asia core earnings surged 21% with double-digit new business gains across all metrics. The LICAT ratio of 136% underscores a strong capital position.</w:t>
      </w:r>
    </w:p>
    <w:p>
      <w:r>
        <w:rPr>
          <w:rFonts w:ascii="Calibri" w:hAnsi="Calibri"/>
          <w:b/>
          <w:color w:val="6E8450"/>
          <w:sz w:val="18"/>
        </w:rPr>
        <w:t>40,000 Employees · https://www.manulife.com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Manulife has executed a significant strategic transformation over the past five years — pivoting from a traditional North American life insurer to an Asia-focused global financial services platform. Asia core earnings grew 21% in Q2 2026 with all three new business metrics posting double-digit gains [1]. The wealth management platform (Manulife Investment Management) has been scaled globally. In the U.S., the John Hancock brand has modernized product offerings. These collectively represent a meaningful strategic pivot, though the underlying business model (insurance, wealth management) remains unchanged. AI Deployment (1/2): Chief AI Officer Jodie Wallis now reports directly to CEO Witherington and joined the Executive Leadership Team, with expanded scope covering both AI and enterprise data [4]. RBC described Manulife's approach as an 'AI flywheel' — building capability, governance, and empowerment systems across the enterprise. However, no specific AI-powered products shipping to customers or quantified cost savings have been reported. Market Share (1/2): Manulife is one of the largest life insurers in Canada and a major player in Asian insurance markets, with strong positions in Hong Kong, Japan, and Southeast Asia. APE sales grew 21% in Q2 2026 [1]. However, the company does not dominate any single market — it competes against AIA, Prudential, and local champions across Asia. Product Pipeline (0/2): Manulife continues expanding insurance and wealth products across markets, but no named next-generation products with specific launch dates and revenue visibility have been disclosed. R&amp;D Intensity (0/1): Insurance companies do not typically report R&amp;D spending. Manulife invests in technology and AI, but this is categorized as operational expenditure rather than formal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Manulife's stated purpose — 'Decisions made easier. Lives made better.' — is clear and identifies the company's value proposition to customers, but it is not deeply distinctive. Many financial services companies articulate similar goals around improving financial lives. The purpose identifies what the company does for customers but doesn't describe a deeper or more idealistic future state that would elevate it beyond functional [4]. Community Impact (1/2): Manulife maintains corporate social responsibility programs and ESG governance, with the Board's Corporate Governance and Nominating Committee meeting quarterly to review sustainability strategy progress [5]. The company achieved an MSCI AA ESG rating and Sustainalytics low-risk score of 17.7. However, no specific standout charitable programs, community investment dollar amounts, or distinctive social impact initiatives were identified beyond standard corporate governance. Employee Retention (0/2): No specific employee retention, voluntary turnover, or average tenure data publicly available for Manulife's 40,000-person workforce. Insider Buying (0/2): No evidence of meaningful net insider buying by CEO Witherington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9 available metrics (revenue growth 5yr CAGR excluded due to IFRS 17 accounting change making historical comparisons unreliable). Manulife's strengths: D/E of 43% is well under the 70% target, reflecting conservative leverage for a financial services firm (score 1.0) [3]. Forward P/E of 11.22 is deeply discounted relative to the 20x target (score 1.0). Consecutive years of dividend payment (17+ years since the 2009 financial crisis cut) scores at maximum with 2x weight [3]. Consecutive years of dividend growth at 12 exceeds the 10-year target (score 1.0). Estimated 5yr dividend growth CAGR of ~9% exceeds the 6% target (score 1.0, 2x weight). Revenue growth YoY of ~3.3% (FY2025 reported; Q2 2026 showed 40% but includes volatile investment income) scores 0.78 [1][3]. The modest drags: ROE of 11.8% is below the 15% target (score 0.79), profit margin of 17.36% is slightly below the 20% target (score 0.87), and payout ratio of 45% is slightly above the 40% target (score 0.92) [3]. Liquidity is ample at ~$103M daily dollar volume (2.3M shares x $44.46).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Manulife is a 139-year-old institution that has survived world wars, the Great Depression, and the 2008 financial crisis, demonstrating remarkable organizational durability. However, Sinek's framework evaluates purpose, not just longevity. Manulife's purpose statement is functional rather than inspiring, its competitive language is metric-driven (market share, ROE targets, LICAT ratios), and the organizational culture, while stable, does not demonstrate the exceptional trust or courage that distinguish infinite game leaders. The Asia-focused growth strategy represents meaningful strategic evolution but not the transformative flexibility that Sinek values most highly.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Manulife's purpose — 'Decisions made easier. Lives made better.' — exists but is shallow. It is interchangeable with any financial services company's mission statement and does not articulate a distinctive vision of a better future [4]. The purpose describes what the company does (helps with decisions) rather than why it matters (what future state it is advancing). While the 139-year history demonstrates institutional persistence, CEO Witherington's strategic communications focus on financial metrics (core ROE targets, growth rates, LICAT ratio) rather than a larger cause that inspires sacrifice. The Asia pivot is presented as a growth opportunity, not as a cause-driven strategic shift.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Manulife is a large, stable organization with 40,000 employees and consistent leadership continuity. The July 2026 executive leadership changes were handled deliberately — existing leaders were given expanded responsibilities, and Jodie Wallis's elevation to the Executive Leadership Team signals organizational investment in people [4]. Shamus Weiland's appointment as CTOO following Rahul Joshi's planned retirement reflects succession planning rather than organizational disruption. However, no specific evidence of exceptional organizational trust, employee empowerment practices, or cultural markers beyond standard corporate governance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Manulife's investor communications and earnings calls frame competition in terms of market share, growth rates, and financial metrics — the language of winning rather than learning. No evidence of management commentary acknowledging competitors' strengths (AIA's Asia dominance, Prudential's innovation) as motivation for self-improvement. The company's competitive strategy focuses on outperforming peers on core ROE and new business metrics.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Manulife has evolved from a traditional Canadian life insurer to a globally diversified financial services platform with Asia as the growth engine — Asia core earnings grew 21% in Q2 2026 and represent a strategic priority [1]. The addition of wealth management and asset management capabilities broadened the platform beyond traditional insurance. The AI leadership restructuring (Chief AI Officer on the Executive Leadership Team) signals willingness to embrace technology-driven change [4]. However, these represent evolutionary expansion rather than the transformative pivot (abandoning a core business) that earns maximum points.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Manulife invested heavily in Asian market expansion when North American insurance offered easier near-term returns, demonstrating willingness to accept higher investment costs for long-term geographic diversification [1]. The decision to elevate the Chief AI Officer to the Executive Leadership Team signals strategic commitment to technology transformation. CEO Witherington's leadership changes in July 2026 show willingness to restructure the organization for future capability. However, these represent prudent strategic management rather than the costly, counter-consensus long-term bets that Sinek's courage framework values most highly.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Manulife at 11.22x forward earnings is a well-capitalized, Asia-focused financial services compounder delivering accelerating growth — Q2 2026 core earnings of $1.9B (+12%), core ROE of 16.3%, core EPS growth of 16%, and Asia new business surging (APE sales +21%, new business CSM +16%, NBV +10%) [1]. The LICAT ratio of 136% provides a fortress capital position, while D/E of 43% reflects conservative leverage for a financial services firm [3]. The 12-year dividend increase streak with 3.04% yield and ~9% dividend growth CAGR makes MFC a reliable income compounder, with the 45% payout ratio leaving room for continued growth [3]. Revenue is forecast to grow 11% per annum over the next three years, well above the 5.2% insurance industry average. The elevation of Chief AI Officer Jodie Wallis to the Executive Leadership Team positions Manulife as an AI adoption leader among global insurers [4]. The 139-year operating history demonstrates institutional resilience through multiple economic cycles.</w:t>
      </w:r>
    </w:p>
    <w:p>
      <w:pPr>
        <w:spacing w:after="120"/>
      </w:pPr>
      <w:r>
        <w:rPr>
          <w:rFonts w:ascii="Calibri" w:hAnsi="Calibri"/>
          <w:b w:val="0"/>
          <w:color w:val="3A4A28"/>
          <w:sz w:val="20"/>
        </w:rPr>
        <w:t>The bear case centers on the cyclicality of financial services, Asia execution risk, and modest profitability metrics. ROE of 11.8% is below the 15% target and trails best-in-class insurers like AIA (ROE ~15-16%), reflecting the drag of legacy North American operations [3]. Profit margin of 17.36% is adequate but not exceptional for a company at this scale. FY2025 revenue growth of only 3.3% suggests that the strong Q2 2026 performance (+40% reported) may include volatile investment income rather than sustainable organic growth. The Asia-focused strategy exposes Manulife to geopolitical risk (China-Taiwan tensions, Hong Kong regulatory changes), currency volatility, and competitive pressure from local champions and global peers (AIA, Prudential) in the fastest-growing insurance markets. The IFRS 17 accounting transition makes historical financial comparisons unreliable, complicating valuation analysis. The Inspire Impact Score of 0 (MIXED) reflects limited Inspire Insight data coverage rather than negative ESG attributes. Insurance industry returns are inherently tied to interest rate cycles, and any sustained rate decline could pressure investment income and new business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Asia core earnings trajectory — Q2 2026 growth of 21% with double-digit gains across all new business metrics suggests the Asian insurance penetration story is accelerating, and continued expansion in China, India, and Southeast Asia could drive sustained double-digit earnings growth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efficiency gains — with Chief AI Officer on the Executive Leadership Team and the 'AI flywheel' strategy scaling across the enterprise, quantifiable cost savings or productivity improvements could materialize in 2027, potentially lifting ROE toward the 18%+ medium-term target [4]</w:t>
      </w:r>
    </w:p>
    <w:p>
      <w:pPr>
        <w:spacing w:before="40" w:after="40"/>
        <w:ind w:left="283"/>
      </w:pPr>
      <w:r>
        <w:rPr>
          <w:rFonts w:ascii="Calibri" w:hAnsi="Calibri"/>
          <w:b/>
          <w:color w:val="4A6B25"/>
          <w:sz w:val="20"/>
        </w:rPr>
        <w:t xml:space="preserve">3. </w:t>
      </w:r>
      <w:r>
        <w:rPr>
          <w:rFonts w:ascii="Calibri" w:hAnsi="Calibri"/>
          <w:b w:val="0"/>
          <w:color w:val="3A4A28"/>
          <w:sz w:val="20"/>
        </w:rPr>
        <w:t>Dividend growth continuation — the 12-year streak, 45% payout ratio, and 16.3% core ROE provide the foundation for mid-to-high single-digit annual dividend increases, making MFC increasingly attractive to income-focused investors as yield compresses elsewhere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Asia geopolitical exposure — Manulife's growth strategy is concentrated in Asian markets susceptible to China-Taiwan tensions, Hong Kong regulatory changes, and cross-border capital flow restrictions that could disrupt the company's most profitable growth engine [1]</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 insurance investment portfolios and new business margins are leveraged to interest rate levels, and any sustained rate decline would pressure investment income and potentially compress the 16.3% core ROE toward historical lows [1][3]</w:t>
      </w:r>
    </w:p>
    <w:p>
      <w:pPr>
        <w:spacing w:before="40" w:after="40"/>
        <w:ind w:left="283"/>
      </w:pPr>
      <w:r>
        <w:rPr>
          <w:rFonts w:ascii="Calibri" w:hAnsi="Calibri"/>
          <w:b/>
          <w:color w:val="4A6B25"/>
          <w:sz w:val="20"/>
        </w:rPr>
        <w:t xml:space="preserve">3. </w:t>
      </w:r>
      <w:r>
        <w:rPr>
          <w:rFonts w:ascii="Calibri" w:hAnsi="Calibri"/>
          <w:b w:val="0"/>
          <w:color w:val="3A4A28"/>
          <w:sz w:val="20"/>
        </w:rPr>
        <w:t>Legacy North American operations — the John Hancock and Manulife Canada businesses face mature market dynamics with limited growth potential, and any deterioration in these portfolios (long-term care reserves, variable annuity guarantees) could offset Asian growth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Insurance is a deeply regulated, capital-intensive, relationship-dependent business that AI enhances rather than disrupts. Manulife's core operations — actuarial modeling, risk assessment, underwriting, claims processing, and wealth management — benefit from AI acceleration but cannot be structurally replaced by AI. The regulatory framework (OSFI oversight in Canada, state insurance regulation in the U.S., Asian regulatory bodies), massive capital reserve requirements (LICAT ratio 136%), and multi-decade customer relationships create moats that AI-powered insurtechs have not been able to overcome at scale [1]. The modest risk comes from AI-enabled competitors potentially offering more personalized, lower-cost insurance products that could pressure commoditized product lines. AI Opportunity (0/1): Manulife has appointed a Chief AI Officer reporting directly to the CEO and is actively scaling AI across the enterprise [4]. RBC describes the company's approach as an 'AI flywheel.' However, no specific AI-generated revenue or quantified AI-driven cost savings have been publicly reported, so no tiebreaker point is earned.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Manulife Q2 2026 Earnings — Core Earnings $1.9B (+12%), Net Income $2.1B, Core EPS +16%, Core ROE 16.3%, Asia Core Earnings +21%, APE Sales +21%, LICAT Ratio 136%, Revenue $10.106B (+40% YoY), August 2026</w:t>
      </w:r>
    </w:p>
    <w:p>
      <w:pPr>
        <w:spacing w:before="20" w:after="20"/>
        <w:ind w:left="170"/>
      </w:pPr>
      <w:r>
        <w:rPr>
          <w:rFonts w:ascii="Calibri" w:hAnsi="Calibri"/>
          <w:b/>
          <w:color w:val="4A6B25"/>
          <w:sz w:val="15"/>
        </w:rPr>
        <w:t xml:space="preserve">2. </w:t>
      </w:r>
      <w:r>
        <w:rPr>
          <w:rFonts w:ascii="Calibri" w:hAnsi="Calibri"/>
          <w:b w:val="0"/>
          <w:color w:val="3A4A28"/>
          <w:sz w:val="17"/>
        </w:rPr>
        <w:t>Manulife Q1 2026 Earnings — Strong Earnings with Double-Digit EPS and New Business Growth, Asian and Asset Management Expansion, May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CNBC, Yahoo Finance — MFC Key Statistics: Forward P/E 11.22, D/E 43%, ROE 11.8%, Profit Margin 17.36%, Stock Price $44.46, Dividend Yield 3.04%, Payout Ratio 45%, 12-Year Dividend Increase Streak,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Manulife Executive Leadership Changes — Chief AI Officer Jodie Wallis Joins ELT, CTOO Shamus Weiland Appointed, RBC 'AI Flywheel' Analysis, July 2026</w:t>
      </w:r>
    </w:p>
    <w:p>
      <w:pPr>
        <w:spacing w:before="20" w:after="20"/>
        <w:ind w:left="170"/>
      </w:pPr>
      <w:r>
        <w:rPr>
          <w:rFonts w:ascii="Calibri" w:hAnsi="Calibri"/>
          <w:b/>
          <w:color w:val="4A6B25"/>
          <w:sz w:val="15"/>
        </w:rPr>
        <w:t xml:space="preserve">5. </w:t>
      </w:r>
      <w:r>
        <w:rPr>
          <w:rFonts w:ascii="Calibri" w:hAnsi="Calibri"/>
          <w:b w:val="0"/>
          <w:color w:val="3A4A28"/>
          <w:sz w:val="17"/>
        </w:rPr>
        <w:t>Manulife ESG Governance — MSCI AA Rating, Sustainalytics Low Risk Score 17.7, Board Corporate Governance and Nominating Committee Quarterly ESG Review, Yahoo Finance Sustainability,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