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MFIC</w:t>
      </w:r>
      <w:r>
        <w:rPr>
          <w:rFonts w:ascii="Calibri" w:hAnsi="Calibri"/>
          <w:b/>
          <w:color w:val="1A2010"/>
          <w:sz w:val="40"/>
        </w:rPr>
        <w:t xml:space="preserve">  MidCap Financial Investment Corporation</w:t>
      </w:r>
    </w:p>
    <w:p>
      <w:pPr>
        <w:spacing w:after="120"/>
      </w:pPr>
      <w:r>
        <w:rPr>
          <w:rFonts w:ascii="Calibri" w:hAnsi="Calibri"/>
          <w:b/>
          <w:color w:val="6E8450"/>
          <w:sz w:val="18"/>
        </w:rPr>
        <w:t>DIVIDEND SLEEVE · 2026-10-02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NMS · United States</w:t>
      </w:r>
    </w:p>
    <w:p>
      <w:pPr>
        <w:spacing w:after="80"/>
      </w:pPr>
      <w:r>
        <w:rPr>
          <w:rFonts w:ascii="Calibri" w:hAnsi="Calibri"/>
          <w:b w:val="0"/>
          <w:color w:val="3A4A28"/>
          <w:sz w:val="20"/>
        </w:rPr>
        <w:t>MidCap Financial Investment Corporation is an externally managed, publicly traded Business Development Company (BDC) focused on providing senior secured first lien loans to U.S. middle market companies. Externally managed by Apollo Investment Management, an affiliate of Apollo Global Management. Formed through the 2024 merger of Apollo Investment Corp, Apollo Senior Floating Rate Fund, and MidCap Financial Investment Corp. Q2 2026 net investment income was $0.40/share but GAAP net loss of $(0.21)/share due to $50.3M portfolio markdowns. NAV of $13.37 versus stock price of $8.74 (35% discount). Headquartered in New York, New York.</w:t>
      </w:r>
    </w:p>
    <w:p>
      <w:r>
        <w:rPr>
          <w:rFonts w:ascii="Calibri" w:hAnsi="Calibri"/>
          <w:b/>
          <w:color w:val="6E8450"/>
          <w:sz w:val="18"/>
        </w:rPr>
        <w:t>https://www.midcapfinancialic.com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2024 triple merger combining Apollo Investment Corp, Apollo Senior Floating Rate Fund, and MidCap Financial created a larger, more diversified BDC platform with improved cost efficiency and deal sourcing through the MidCap Financial partnership — meaningful corporate restructuring, though financial consolidation rather than product innovation [1][2]. AI Deployment (0/2): MFIC describes investing 'with an AI first and risk aware mindset,' underwriting each investment for AI-driven upside and displacement risk, but this is investment analysis methodology, not an AI product generating revenue or measurable cost savings [2]. Market Share (0/2): MFIC is a mid-tier BDC with a shrinking portfolio, dwarfed by peers like Ares Capital ($28B+) and Blue Owl Capital ($20B+). The portfolio is actively contracting with negative net investment activity [1]. Product Pipeline (0/2): No new products, strategies, or investment verticals announced. Portfolio shrinking and company announced $100M buyback as a defensive measure [1]. R&amp;D Intensity (0/1): Not applicable to a BDC; externally managed with no internal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MFIC's stated purpose is providing senior debt solutions to middle market companies — a functional description of what the company does, interchangeable with every other BDC. No articulated mission, vision, or values beyond financial intermediation [2]. Community Impact (0/2): No evidence of charitable programs, foundation, or community investment. BDCs are financial vehicles, not organizations with social missions. Employee Retention (0/2): MFIC is externally managed by Apollo Investment Management — there are no traditional employees, no internal culture to evaluate, and no retention data. Executive Chairman Howard Widra announced retirement effective December 2026 [2]. Insider Buying (0/2): No evidence of meaningful personal insider purchases. The $100M share buyback program represents corporate action through Apollo's management, not personal executive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MFIC's financial profile has deteriorated significantly — Q2 2026 delivered NII of $0.40/share but GAAP net loss of $(0.21)/share as $(50.3M) in portfolio losses overwhelmed investment income [1]. NAV declined from $14.66 (September 2025) to $13.37 (June 2026), an 8.8% erosion. ROE of -2.39% and profit margin of -9.85% reflect unrealized credit losses (score 0.0 on both). D/E of 158% scores 0.62, typical for BDC leverage. Forward P/E of 7.01 is attractive (score 1.0) but reflects market skepticism about earnings sustainability. The dividend was cut 18% from $0.38 to $0.31/quarter in Q1 2026, zeroing out consecutive years of dividend growth and producing a negative 5-year dividend growth CAGR (score 0.0 on both, 3x combined weight). The 20+ year consecutive payment history through predecessor entities provides some offset (score 1.0, 2x weight). Revenue declined 16% YoY. Daily dollar volume of $4.8M provides adequate liquidity above the $1M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MFIC is a textbook finite game player. As an externally managed BDC, it exists purely to generate financial returns for shareholders and management fees for Apollo. There is no Just Cause, no internal culture (external management), and no vision beyond quarterly NII coverage and dividend payments. Strategic decisions are driven entirely by financial optimization — the triple merger was a consolidation play, the share buyback targets NAV accretion, and the dividend cut was a mechanical response to credit losses. Nothing about MFIC's structure or strategy suggests it is built to endure beyond its financial utility.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MFIC has no articulated Just Cause. The company exists to deploy Apollo's capital into middle market loans and generate returns. There is no vision of a better future, no stated purpose beyond financial intermediation, and no evidence that any stakeholder views MFIC as serving a cause larger than profit [1][2]. Management commentary focuses exclusively on NII coverage, NAV preservation, and capital allocation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MFIC is externally managed by Apollo Investment Management with no traditional employees. The 'team' is Apollo's investment professionals who manage multiple vehicles simultaneously. The Executive Chairman (Widra) is retiring effective December 2026, and CEO transitions have been planned Apollo personnel changes, not expressions of organizational trust or culture [2]. There is no internal culture, no employee empowerment model, and no organizational identity independent of the Apollo platform.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MFIC competes in the BDC space primarily through cost structure (Apollo affiliation providing fee efficiency) and deal sourcing (MidCap Financial partnership), not through learning from competitors like Ares Capital, Blue Owl, or Golub Capital. Competitive positioning is transactional and fee-focused.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triple merger — combining three separate Apollo-managed vehicles into a single larger BDC — was a meaningful structural transformation that improved scale, diversification, and cost efficiency [2]. The pivot from standalone Apollo Investment Corp to the MidCap Financial partnership model changed the deal sourcing and underwriting approach. However, the core business model (borrow money, lend to middle market companies, collect spread) has not changed. The merger was driven by financial engineering rationale, not a deeper strategic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The 18% dividend cut from $0.38 to $0.31 was a defensive response to NAV erosion and credit losses, not a proactive investment in long-term capability [1]. The $100M share buyback below NAV is financially rational but standard BDC capital allocation. The board's explicit warning that 'no assurances' exist for maintaining the current dividend reflects risk management, not strategic courage. Portfolio contraction (negative net investment activity) is prudent but defensive.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MFIC at $8.74 offers a 14.2% dividend yield backed by Q2 2026 NII of $0.40/share, providing 129% coverage of the $0.31 quarterly distribution, with the 94% first lien secured portfolio composition limiting downside in severe credit scenarios [1]. The stock trades at a 35% discount to NAV ($8.74 vs $13.37 book value), and the $100M share buyback program at these levels is materially NAV-accretive. Forward P/E of 7.01 implies the market is pricing in continued deterioration that may prove excessive if credit losses stabilize. Apollo's $785B AUM platform provides institutional-quality deal sourcing and workout expertise for distressed positions [2].</w:t>
      </w:r>
    </w:p>
    <w:p>
      <w:pPr>
        <w:spacing w:after="120"/>
      </w:pPr>
      <w:r>
        <w:rPr>
          <w:rFonts w:ascii="Calibri" w:hAnsi="Calibri"/>
          <w:b w:val="0"/>
          <w:color w:val="3A4A28"/>
          <w:sz w:val="20"/>
        </w:rPr>
        <w:t>The bear case is severe and immediate. NAV has declined 8.8% in three quarters (from $14.66 to $13.37), the dividend was cut 18% from $0.38 to $0.31, and the board explicitly warned 'no assurances' exist for maintaining even the reduced dividend [1]. Q2 2026 produced a GAAP net loss of $(0.21)/share as $(50.3M) in portfolio losses — concentrated in software credits — overwhelmed investment income. Revenue collapsed 91% YoY to just $13.4M trailing twelve months, and the portfolio is actively contracting. The 35% discount to NAV signals the market expects further NAV erosion — if credit losses continue at the Q2 pace, NAV could decline below $12 within two quarters. External management by Apollo creates structural misalignment — Apollo earns fees on assets regardless of shareholder returns, and Executive Chairman Widra's announced retirement effective December 2026 adds leadership uncertainty. The negative 5-year dividend growth CAGR of -7% reflects a deteriorating income trajectory, not a stable yield vehicle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NAV decline if credit losses moderate in H2 2026, with 94% first lien secured portfolio providing structural recovery potential as stressed borrowers restructure or are replaced [1]</w:t>
      </w:r>
    </w:p>
    <w:p>
      <w:pPr>
        <w:spacing w:before="40" w:after="40"/>
        <w:ind w:left="283"/>
      </w:pPr>
      <w:r>
        <w:rPr>
          <w:rFonts w:ascii="Calibri" w:hAnsi="Calibri"/>
          <w:b/>
          <w:color w:val="4A6B25"/>
          <w:sz w:val="20"/>
        </w:rPr>
        <w:t xml:space="preserve">2. </w:t>
      </w:r>
      <w:r>
        <w:rPr>
          <w:rFonts w:ascii="Calibri" w:hAnsi="Calibri"/>
          <w:b w:val="0"/>
          <w:color w:val="3A4A28"/>
          <w:sz w:val="20"/>
        </w:rPr>
        <w:t>Share buyback program generating NAV accretion — repurchases at the current 35% discount to NAV are materially accretive to remaining shareholders and signal management confidence in asset values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if NII remains at $0.38-$0.40/share level while the $0.31 distribution builds supplemental income reserves, rebuilding investor confidence in the income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NAV erosion from further credit losses — the 8.8% decline over three quarters could accelerate if macroeconomic conditions deteriorate, with the board providing 'no assurances' of maintaining even the $0.31 quarterly distribution [1]</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misaligns incentives — Apollo earns management fees on gross assets regardless of shareholder returns, and Executive Chairman Widra's December 2026 retirement adds leadership uncertainty during a period of portfolio stress [2]</w:t>
      </w:r>
    </w:p>
    <w:p>
      <w:pPr>
        <w:spacing w:before="40" w:after="40"/>
        <w:ind w:left="283"/>
      </w:pPr>
      <w:r>
        <w:rPr>
          <w:rFonts w:ascii="Calibri" w:hAnsi="Calibri"/>
          <w:b/>
          <w:color w:val="4A6B25"/>
          <w:sz w:val="20"/>
        </w:rPr>
        <w:t xml:space="preserve">3. </w:t>
      </w:r>
      <w:r>
        <w:rPr>
          <w:rFonts w:ascii="Calibri" w:hAnsi="Calibri"/>
          <w:b w:val="0"/>
          <w:color w:val="3A4A28"/>
          <w:sz w:val="20"/>
        </w:rPr>
        <w:t>Software portfolio exposure (11.4% at fair value) faces ongoing AI disruption risk — recent credit losses were concentrated in software credits, validating the concern that AI is reshaping competitive dynamics for MFIC's borrowers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MFIC's core business — originating and managing senior secured loans to private middle market companies — relies on relationship-intensive deal sourcing, complex underwriting of private companies with limited publicly available data, and workout expertise during credit stress that requires human judgment and negotiation [1][2]. These activities have significant human components that AI cannot fully replicate near-term. The Apollo platform provides institutional-scale data advantages. However, AI-enhanced fintech lenders could compete for middle market deals using superior data analysis and faster credit decisions. Additionally, MFIC's portfolio companies face their own AI disruption risks — the company acknowledged software exposure (11.4% of portfolio) requires underwriting for 'AI-driven displacement risk,' and recent credit losses in software holdings validate this concern [2]. AI Opportunity (0/1): No revenue from AI products or services. MFIC is a financial intermediary that may benefit from AI-enhanced credit tools developed by Apollo, but generates no AI-related revenue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MidCap Financial Investment Q2 2026 Earnings — NII $0.40/Share, GAAP Net Loss $(0.21)/Share, NAV $13.37, Portfolio Losses $(50.3M), Dividend Cut to $0.31, $100M Buyback Announced,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MidCap Financial Investment Corporate Profile and AI Strategy — Apollo Management, CEO Tanner Powell, Executive Chairman Widra Retirement, AI-First Underwriting Approach, Software 11.4% Portfolio Exposure, midcapfinancialic.com and SEC Filings,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