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MGA</w:t>
      </w:r>
      <w:r>
        <w:rPr>
          <w:rFonts w:ascii="Calibri" w:hAnsi="Calibri"/>
          <w:b/>
          <w:color w:val="1A2010"/>
          <w:sz w:val="40"/>
        </w:rPr>
        <w:t xml:space="preserve">  Magna International Inc.</w:t>
      </w:r>
    </w:p>
    <w:p>
      <w:pPr>
        <w:spacing w:after="120"/>
      </w:pPr>
      <w:r>
        <w:rPr>
          <w:rFonts w:ascii="Calibri" w:hAnsi="Calibri"/>
          <w:b/>
          <w:color w:val="6E8450"/>
          <w:sz w:val="18"/>
        </w:rPr>
        <w:t>DIVIDEND SLEEVE · 2026-09-14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Parts · NYSE · Canada</w:t>
      </w:r>
    </w:p>
    <w:p>
      <w:pPr>
        <w:spacing w:after="80"/>
      </w:pPr>
      <w:r>
        <w:rPr>
          <w:rFonts w:ascii="Calibri" w:hAnsi="Calibri"/>
          <w:b w:val="0"/>
          <w:color w:val="3A4A28"/>
          <w:sz w:val="20"/>
        </w:rPr>
        <w:t>Magna International is one of the world's largest automotive suppliers, operating through four segments: Body Exteriors &amp; Structures, Power &amp; Vision, Seating Systems, and Complete Vehicles. The company serves global OEMs across ICE, hybrid, and EV platforms with a 'powertrain agnostic' strategy. Under CEO Swamy Kotagiri (since January 2021, 21+ year Magna veteran), Q2 2026 delivered record adjusted EPS of $1.86 (+29% YoY) on $11.0B revenue with EBIT margin expanding to 6.2%. The company raised its 2026 outlook and recently partnered with NVIDIA to combine technologies for autonomous driving and ADAS systems.</w:t>
      </w:r>
    </w:p>
    <w:p>
      <w:r>
        <w:rPr>
          <w:rFonts w:ascii="Calibri" w:hAnsi="Calibri"/>
          <w:b/>
          <w:color w:val="6E8450"/>
          <w:sz w:val="18"/>
        </w:rPr>
        <w:t>156,000 Employees · https://www.magna.com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Magna has incrementally expanded into EV battery enclosures, ADAS systems, and complete vehicle assembly for Chinese OEMs (XPENG, GAC), but these are extensions of existing manufacturing capabilities rather than transformative pivots [1]. Record Q2 2026 results demonstrate operational execution, but revenue growth remains modest at 3% YoY. AI Deployment (2/2): Magna and NVIDIA recently partnered to combine technologies aimed at boosting accuracy and speed of on-board safety and self-driving systems [2]. Magna ships ADAS products (cameras, thermal sensing, radar, compute units) to OEM customers, deploys AI vision-inspection technology in EV manufacturing, and has invested in Sanctuary AI (humanoid robots) and Populus AI (urban mobility management) — concrete AI deployments generating revenue and reducing costs [2]. Market Share (1/2): Magna is a top-3 global auto parts supplier with unique strength in complete vehicle assembly (Magna Steyr) and body structures, though competitive pressure from Chinese suppliers is intensifying [1]. Pipeline (1/2): Raised 2026 outlook on record Q2 results with EBIT margin target of 6.0-6.6%; new business wins with Chinese EV OEMs and NVIDIA ADAS partnership provide forward visibility [1][2]. R&amp;D Intensity (1/1): Significant R&amp;D investment in ADAS, battery enclosures, autonomous driving (NVIDIA partnership), and Sanctuary AI robotics — above auto parts peer average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Magna describes itself as a 'mobility company that innovates like a startup,' built on founder Frank Stronach's 'Fair Enterprise' philosophy of sharing profits with employees who create them [2]. This is genuinely distinctive for the auto parts industry — the founding principles of fairness, accountability, and entrepreneurialism differentiate Magna from commodity suppliers. However, current CEO Kotagiri's narrative focuses more on market positioning than purpose articulation. Community &amp; Charitable Impact (1/2): Magna employs 156,000 globally, maintains the Magna Hotline for ethics reporting, publishes annual sustainability reports with SBTi-approved emission reduction targets aligned to seven UN SDGs [4]. ESG risk score of 19 (Low) from Sustainalytics. No specific charitable foundation or community investment dollar amounts identified. Employee Retention (1/2): Glassdoor rating of 3.3-3.4/5 with 3,182+ reviews is average for the auto industry [3]. Mixed feedback: some cite the entrepreneurial culture positively while others note leadership is 'older and set in their ways.' Only 64% would recommend to a friend. Kotagiri's 21+ year tenure demonstrates personal loyalty. Insider Buying (1/2): CEO Kotagiri purchased 2,000 shares ($121K) in May 2026, plus 93.6% of his total compensation is stock-based, creating meaningful alignment [2]. The open-market purchase is modest but demonstrates voluntary commitment beyond required equity grants.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metrics. Magna's balance sheet is well-managed with D/E of 58% (below the 70% target), and forward P/E of 9.41x represents deep value pricing well below the 20x target [5]. Q2 2026 delivered record results: adjusted EPS of $1.86 (+29% YoY), EBIT margin expanding to 6.2%, and raised full-year outlook [1]. GAAP profitability has improved substantially, with trailing P/E declining from 26x to 14.89x as non-cash charges fade and earnings recover. ROE of 8.70% remains below the 15% target but is improving. Profit margin of 2.89% is thin but expanding from 2.24%. The dividend has been paid for 41 consecutive years (since 1985) with the 5-year dividend growth CAGR of 5.8% approaching the 6% target, and consecutive years of growth at 14 — among the strongest in the auto parts sector [5]. Payout ratio of approximately 44% (GAAP) is comfortable and well within the 100% floor. Dividend yield of 3.03% with a $1.97 annual payout provides reliable income. Daily liquidity of approximately $131M passes easily.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Magna has endured for nearly 70 years through multiple automotive industry cycles, built on founder Frank Stronach's 'Fair Enterprise' philosophy of profit sharing and fairness. This heritage gives the company genuine long-term DNA. Under CEO Kotagiri (21+ years at Magna, CEO since 2021), the strategic narrative is operationally focused — margin expansion, NVIDIA partnership, contract wins — rather than purpose-driven. The company adapts well to industry shifts but doesn't define them.</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Magna's purpose revolves around being a leading mobility technology company. The underlying 'Fair Enterprise' philosophy from founder Frank Stronach (profit sharing, fairness) is genuinely distinctive, but current leadership articulates the mission primarily as market positioning [2]. The NVIDIA partnership and EV/ADAS investments are driven by industry trends rather than an articulated vision of a better future. The founding principles have endured but don't clearly shape today's competitive strategy.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Magna's 156,000-employee global workforce operates under a culture historically rooted in Stronach's fairness principles, and the Magna Hotline for ethics reporting suggests governance infrastructure [3]. However, Glassdoor reviews reveal mixed trust signals: only 64% would recommend working there, with employees citing leadership being 'older and set in their ways,' 'strict' management, and an 'outdated' vibe. The 3.4/5 culture rating is adequate but not exceptional for a company claiming entrepreneurial values.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Magna demonstrates an infinite-minded competitive approach — partnering with Chinese OEMs like XPENG and GAC for complete vehicle assembly rather than treating them as threats, and collaborating with NVIDIA on ADAS rather than competing against tech companies [1][2]. CEO Kotagiri's 'powertrain agnostic' strategy positions competitors' strengths as motivation to broaden capabilities rather than defend territory. The company competes to serve the evolving industry rather than defeat specific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Magna has evolved from a traditional stamping company (founded 1957) into a complete vehicle manufacturer, ADAS supplier, and EV component maker — entering battery enclosures, autonomous driving systems (NVIDIA partnership), and contract vehicle assembly for multiple OEMs [1][2]. The 'powertrain agnostic' pivot demonstrates strategic flexibility. However, these are incremental extensions of existing manufacturing capabilities rather than a fundamental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Magna has maintained investment in ADAS (NVIDIA partnership), EV battery enclosures, and manufacturing robotics (Sanctuary AI) during automotive industry uncertainty, while the 2026 raised outlook prioritizes margin expansion alongside technology bets [1][2]. CEO Kotagiri purchased shares voluntarily in May 2026, signaling conviction. However, Magna's strategic moves are reactive to industry trends (EV transition, autonomous driving) rather than defining them.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Magna International delivered record Q2 2026 results — adjusted EPS of $1.86 (+29% YoY), EBIT margin expanding to 6.2%, and a raised full-year outlook — demonstrating that sustained operational restructuring is translating into tangible profitability improvement [1]. At 9.41x forward P/E on improving guidance, the stock represents deep value in the auto parts sector. The 3.03% dividend yield backed by 41 consecutive years of payment, 14 years of growth, and a 5.8% 5-year CAGR provides reliable income, while the 44% GAAP payout ratio leaves substantial room for dividend increases [5]. The NVIDIA partnership for ADAS and autonomous driving positions Magna at the intersection of physical manufacturing and AI-driven mobility technology, and complete vehicle assembly contracts with Chinese EV OEMs diversify growth exposure [2]. Revenue of $11.0B in Q2 2026 (+3% YoY) is steady with margin expansion doing the heavy lifting on earnings.</w:t>
      </w:r>
    </w:p>
    <w:p>
      <w:pPr>
        <w:spacing w:after="120"/>
      </w:pPr>
      <w:r>
        <w:rPr>
          <w:rFonts w:ascii="Calibri" w:hAnsi="Calibri"/>
          <w:b w:val="0"/>
          <w:color w:val="3A4A28"/>
          <w:sz w:val="20"/>
        </w:rPr>
        <w:t>The bear case centers on thin margins, cyclical exposure, and the software-defined vehicle transition. Despite improvement, GAAP profit margin of 2.89% and ROE of 8.70% leave minimal buffer for cost overruns, warranty claims, or input cost inflation in a 156,000-employee global manufacturing operation [5]. Revenue growth of 3% YoY is modest and dependent on global vehicle production volumes — cyclical auto demand weakness, tariff escalation for a Canadian-headquartered company, or EV adoption delays could compress volumes and margins simultaneously. The structural shift toward software-defined vehicles concentrates value in technology layers where Magna is the junior partner (NVIDIA leads the ADAS partnership), and pure-play tech competitors (Mobileye, Tesla) have deeper AI expertise in autonomous driving [2]. The Inspire Impact Score of 0 (MIXED) and Glassdoor rating of 3.3-3.4/5 indicate neither strong alignment for faith-based investors nor a distinctive culture that could weather prolonged industry disruption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EBIT margin expansion toward the 6.0-6.6% full-year target, with Q2's 6.2% demonstrating sustainable operational leverage — each 100bps of margin improvement translates to approximately $430M in additional EBIT on $43B revenue [1]</w:t>
      </w:r>
    </w:p>
    <w:p>
      <w:pPr>
        <w:spacing w:before="40" w:after="40"/>
        <w:ind w:left="283"/>
      </w:pPr>
      <w:r>
        <w:rPr>
          <w:rFonts w:ascii="Calibri" w:hAnsi="Calibri"/>
          <w:b/>
          <w:color w:val="4A6B25"/>
          <w:sz w:val="20"/>
        </w:rPr>
        <w:t xml:space="preserve">2. </w:t>
      </w:r>
      <w:r>
        <w:rPr>
          <w:rFonts w:ascii="Calibri" w:hAnsi="Calibri"/>
          <w:b w:val="0"/>
          <w:color w:val="3A4A28"/>
          <w:sz w:val="20"/>
        </w:rPr>
        <w:t>NVIDIA ADAS partnership positioning Magna as a key hardware integrator for software-defined vehicles, potentially opening high-margin technology revenue streams beyond traditional auto parts manufacturing [2]</w:t>
      </w:r>
    </w:p>
    <w:p>
      <w:pPr>
        <w:spacing w:before="40" w:after="40"/>
        <w:ind w:left="283"/>
      </w:pPr>
      <w:r>
        <w:rPr>
          <w:rFonts w:ascii="Calibri" w:hAnsi="Calibri"/>
          <w:b/>
          <w:color w:val="4A6B25"/>
          <w:sz w:val="20"/>
        </w:rPr>
        <w:t xml:space="preserve">3. </w:t>
      </w:r>
      <w:r>
        <w:rPr>
          <w:rFonts w:ascii="Calibri" w:hAnsi="Calibri"/>
          <w:b w:val="0"/>
          <w:color w:val="3A4A28"/>
          <w:sz w:val="20"/>
        </w:rPr>
        <w:t>Forward P/E of 9.41x with raised guidance represents deep value — any sustained earnings beat, tariff resolution, or EV demand acceleration could trigger significant multiple expansion from historically depressed levels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profit margin of 2.89% and ROE of 8.70% remain well below the scoring targets — thin margins provide minimal buffer against input cost inflation, warranty claims, or cyclical demand weakness in a 156,000-employee global manufacturing base [5]</w:t>
      </w:r>
    </w:p>
    <w:p>
      <w:pPr>
        <w:spacing w:before="40" w:after="40"/>
        <w:ind w:left="283"/>
      </w:pPr>
      <w:r>
        <w:rPr>
          <w:rFonts w:ascii="Calibri" w:hAnsi="Calibri"/>
          <w:b/>
          <w:color w:val="4A6B25"/>
          <w:sz w:val="20"/>
        </w:rPr>
        <w:t xml:space="preserve">2. </w:t>
      </w:r>
      <w:r>
        <w:rPr>
          <w:rFonts w:ascii="Calibri" w:hAnsi="Calibri"/>
          <w:b w:val="0"/>
          <w:color w:val="3A4A28"/>
          <w:sz w:val="20"/>
        </w:rPr>
        <w:t>Revenue growth of 3% YoY depends on global vehicle production volumes vulnerable to cyclical demand weakness, tariff escalation on cross-border supply chains, and potential EV adoption delays that could compress volumes and margins</w:t>
      </w:r>
    </w:p>
    <w:p>
      <w:pPr>
        <w:spacing w:before="40" w:after="40"/>
        <w:ind w:left="283"/>
      </w:pPr>
      <w:r>
        <w:rPr>
          <w:rFonts w:ascii="Calibri" w:hAnsi="Calibri"/>
          <w:b/>
          <w:color w:val="4A6B25"/>
          <w:sz w:val="20"/>
        </w:rPr>
        <w:t xml:space="preserve">3. </w:t>
      </w:r>
      <w:r>
        <w:rPr>
          <w:rFonts w:ascii="Calibri" w:hAnsi="Calibri"/>
          <w:b w:val="0"/>
          <w:color w:val="3A4A28"/>
          <w:sz w:val="20"/>
        </w:rPr>
        <w:t>Software-defined vehicle transition concentrates value in technology layers where Magna is the junior partner (NVIDIA, Mobileye, Tesla have deeper AI expertise), and Chinese supplier competition is intensifying in traditional manufacturing segments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Magna's core business — manufacturing physical auto components, body structures, seating systems, and complete vehicles — involves complex physical-world operations that AI structurally cannot replace [1]. Car doors, bumpers, battery enclosures, and seats must be physically manufactured and assembled. The NVIDIA partnership for ADAS and autonomous driving strengthens Magna's position in the software-defined vehicle transition, actively addressing the value migration from hardware to software layers rather than passively waiting for disruption [2]. However, pure-play tech companies (Mobileye, NVIDIA, Tesla) have deeper AI expertise in autonomous driving, and the broader industry shift toward software-defined vehicles concentrates value in technology where Magna is the junior partner. AI Opportunity (1/1): Magna generates tangible AI-adjacent revenue from ADAS products (cameras, thermal sensing, radar, compute units) shipping to OEM customers today, plus active investments in Sanctuary AI (humanoid robots for manufacturing), Populus AI (urban mobility), and the NVIDIA ADAS partnership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Magna International Q2 2026 Earnings — Record Adjusted EPS $1.86 (+29% YoY), Revenue $11.0B (+3% YoY), EBIT Margin 6.2%, Raised Full-Year Outlook, July 2026</w:t>
      </w:r>
    </w:p>
    <w:p>
      <w:pPr>
        <w:spacing w:before="20" w:after="20"/>
        <w:ind w:left="170"/>
      </w:pPr>
      <w:r>
        <w:rPr>
          <w:rFonts w:ascii="Calibri" w:hAnsi="Calibri"/>
          <w:b/>
          <w:color w:val="4A6B25"/>
          <w:sz w:val="15"/>
        </w:rPr>
        <w:t xml:space="preserve">2. </w:t>
      </w:r>
      <w:r>
        <w:rPr>
          <w:rFonts w:ascii="Calibri" w:hAnsi="Calibri"/>
          <w:b w:val="0"/>
          <w:color w:val="3A4A28"/>
          <w:sz w:val="17"/>
        </w:rPr>
        <w:t>Magna Technology Partnerships — NVIDIA ADAS/Autonomous Driving Partnership, Sanctuary AI Robotics, Populus AI, 'Fair Enterprise' Philosophy — Forbes, Built In, 2025-2026</w:t>
      </w:r>
    </w:p>
    <w:p>
      <w:pPr>
        <w:spacing w:before="20" w:after="20"/>
        <w:ind w:left="170"/>
      </w:pPr>
      <w:r>
        <w:rPr>
          <w:rFonts w:ascii="Calibri" w:hAnsi="Calibri"/>
          <w:b/>
          <w:color w:val="4A6B25"/>
          <w:sz w:val="15"/>
        </w:rPr>
        <w:t xml:space="preserve">3. </w:t>
      </w:r>
      <w:r>
        <w:rPr>
          <w:rFonts w:ascii="Calibri" w:hAnsi="Calibri"/>
          <w:b w:val="0"/>
          <w:color w:val="3A4A28"/>
          <w:sz w:val="17"/>
        </w:rPr>
        <w:t>Glassdoor / Built In — Magna International Employee Reviews (3,182+ reviews, 3.3-3.4/5 rating, 64% recommend),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Magna 2025 Sustainability Report — SBTi-Approved Emission Targets, ESG Risk Score 19 (Low), UN SDG Alignment, Sustainalytics Moderate Controversy</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GuruFocus — MGA Key Statistics: Forward PE 9.41x, D/E 58%, ROE 8.70%, Profit Margin 2.89%, Dividend Yield 3.03%, Payout 44%, Stock Price $66.56,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