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MGM</w:t>
      </w:r>
      <w:r>
        <w:rPr>
          <w:rFonts w:ascii="Calibri" w:hAnsi="Calibri"/>
          <w:b/>
          <w:color w:val="1A2010"/>
          <w:sz w:val="40"/>
        </w:rPr>
        <w:t xml:space="preserve">  MGM Resorts International</w:t>
      </w:r>
    </w:p>
    <w:p>
      <w:pPr>
        <w:spacing w:after="120"/>
      </w:pPr>
      <w:r>
        <w:rPr>
          <w:rFonts w:ascii="Calibri" w:hAnsi="Calibri"/>
          <w:b/>
          <w:color w:val="6E8450"/>
          <w:sz w:val="18"/>
        </w:rPr>
        <w:t>GROWTH SLEEVE · 2026-10-20 · Inspire: -77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Resorts &amp; Casinos · NYQ · United States</w:t>
      </w:r>
    </w:p>
    <w:p>
      <w:pPr>
        <w:spacing w:after="80"/>
      </w:pPr>
      <w:r>
        <w:rPr>
          <w:rFonts w:ascii="Calibri" w:hAnsi="Calibri"/>
          <w:b w:val="0"/>
          <w:color w:val="3A4A28"/>
          <w:sz w:val="20"/>
        </w:rPr>
        <w:t>MGM Resorts International operates as a global gaming and entertainment company through four segments: Las Vegas Strip Resorts, Regional Operations, MGM China, and MGM Digital. The company operates casino resorts offering gaming, hotel, convention, dining, entertainment, and retail amenities, plus online sports betting and iGaming through BetMGM (JV with Entain). Q2 2026 consolidated revenue was $4.5B (+1% YoY) with net income of $292M versus $49M a year earlier, while Las Vegas Strip revenue rose 3% to $2.2B and MGM Digital revenue surged 20% to $196M. The company is subject to a $48.30/share takeover offer from Barry Diller's People Inc.</w:t>
      </w:r>
    </w:p>
    <w:p>
      <w:r>
        <w:rPr>
          <w:rFonts w:ascii="Calibri" w:hAnsi="Calibri"/>
          <w:b/>
          <w:color w:val="6E8450"/>
          <w:sz w:val="18"/>
        </w:rPr>
        <w:t>60,000 Employees · https://www.mgmresorts.com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MGM executed a significant strategic expansion into digital gaming and sports betting through the BetMGM joint venture with Entain, growing the platform to $196M quarterly revenue (+20% YoY) in Q2 2026 and establishing a meaningful new revenue stream alongside the legacy physical casino business [1]. The acquisition of LeoVegas and international digital expansion represent genuine business model transformation. AI Deployment (1/2): MGM deployed an AI-powered digital concierge handling 70,000+ monthly conversations across properties, plus AI-driven demand forecasting, dynamic pricing, and scheduling optimization, though deployment remains limited to guest services and workforce management rather than core gaming operations [2]. Market Share (1/2): MGM is one of the three largest casino operators on the Las Vegas Strip alongside Caesars and Wynn, with $2.2B quarterly Strip revenue, but does not command outright category leadership; BetMGM competes in a fragmented online sports betting market against FanDuel and DraftKings without dominant share [1]. Product Pipeline (1/2): The Osaka integrated resort (MGM Japan) represents a specific next-generation project in development, and BetMGM continues geographic expansion into new legal markets, though the Japan IR timeline remains uncertain and no other breakthrough products have been announced [1]. R&amp;D Intensity (0/1): Below technology industry averages; innovation investment centers on digital platform development and property renovations rather than fundamental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MGM's purpose centers on entertainment and guest experience — the company positions itself as creating world-class entertainment and hospitality experiences, which is clear and identifies its role but is not distinctive from any major hospitality company and does not articulate a deeper vision for a better future [2]. Community Impact (1/2): MGM's Corporate Social Responsibility and Sustainability Committee has overseen environmental and social responsibility programs for over a decade, including community investment programs and responsible gaming initiatives, though no specific dollar amounts or distinctive community programs beyond industry norms were identified [3][4]. Employee Retention (0/2): Glassdoor rating of 3.6/5 with 67% CEO approval as of late 2026 indicates average employee satisfaction; recurring complaints about 24/7 work culture, lack of work-life balance, and limited career advancement suggest retention challenges rather than a mission-driven workforce [2]. Insider Buying (0/2): No evidence of meaningful net insider buying by CEO Bill Hornbuckle or other executives; the pending $48.30/share takeover offer from Barry Diller's People Inc. complicates insider transaction analysis.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The standout strength is valuation: Forward P/E of 15.2 is well below the 20 target (score 1.0), and PEG of 0.36 is dramatically below the 1.0 target (score 1.0, 2x weight), reflecting the market pricing in significant earnings recovery from depressed 2025 levels [3]. ROE of 18.9% exceeds the 15% target (score 1.0, 2x weight), demonstrating strong returns on a thin equity base. The critical weakness is leverage: D/E of 893% is nearly 3x the 300% floor (score 0.0), reflecting $30.2B total debt against $2.8B cash from MGM's asset-heavy resort operations and the VICI Properties sale-leaseback structure [3]. Revenue growth of 1% YoY is well below the 10% target (score 0.70), with 2026 top-line growth decelerating as Las Vegas Strip and regional segments mature. Estimated 5yr revenue CAGR of ~6% scores 0.73 (2x weight), reflecting post-COVID normalization. Profit margin of 2.4% is far below the 20% target (score 0.12), typical for capital-intensive hospitality operations. Daily dollar volume of $100M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MGM plays a predominantly finite game oriented around quarterly EBITDA targets, share buybacks, and asset monetization rather than a durable cause that transcends current leadership. The pending $48.30/share takeover offer from Barry Diller's People Inc. underscores the company's vulnerability to financial engineering pressures, while the sale-leaseback of real estate assets to VICI Properties traded long-term asset ownership for near-term financial flexibility. The company's purpose of creating entertainment experiences is genuine but generic, and competitive language focuses on market share and beating rivals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MGM's purpose centers on creating world-class entertainment and hospitality experiences, which is a legitimate mission but reads as generic marketing copy interchangeable with any major hospitality company [2]. Leadership does not consistently reference a deeper purpose in strategic decisions — the sale-leaseback of $17B+ in real estate to VICI Properties prioritized financial engineering over long-term asset ownership, and the company's strategic narrative centers on EBITDA growth and shareholder returns rather than a vision of a better future.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MGM employs 60,000 people with relatively stable leadership under CEO Bill Hornbuckle, and the successful 2023 five-year labor agreement with the Culinary Workers Union (Local 226) covering 25,000 workers demonstrates capacity for constructive labor relations [4]. However, Glassdoor reviews (3.6/5) cite 24/7 work culture, limited career advancement, and work-life balance concerns, and the union negotiation itself required strike threats to reach agreement, suggesting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MGM's management publicly acknowledging competitors' strengths or using competitive pressure for self-improvement; competitive positioning focuses on Las Vegas Strip market share, BetMGM's position against FanDuel and DraftKings, and defending against Macau competitors, reflecting a finite 'win-lose'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MGM has incrementally evolved from a pure casino operator to an integrated resort, entertainment, and digital gaming company — the BetMGM launch, acquisition of LeoVegas, and expansion into online sports betting represent meaningful business model adaptation [1]. The sale-leaseback to VICI Properties was a significant structural change to an asset-light model. However, these changes were evolutionary responses to industry trends rather than transformative, cause-driven pivots that redefined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MGM's investment in the Osaka integrated resort project (Japan IR) represents a costly long-term bet on international expansion despite uncertain regulatory timelines, and the $30B+ commitment to BetMGM and digital transformation during the pandemic showed willingness to invest during a crisis [1]. However, the simultaneous focus on share buybacks ($2B+ programs) and asset monetization through sale-leasebacks suggests leadership prioritizes near-term shareholder returns alongside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MGM at $28.47 with a $7.3B market cap trades at a significant discount to the pending $48.30/share takeover offer from Barry Diller's People Inc., representing 70% potential upside if the deal closes. The stock's forward P/E of 15.2x and PEG of 0.36 reflect deep value even without deal completion, supported by ROE of 18.9% and a recovering earnings trajectory — Q2 2026 net income surged to $292M from $49M a year earlier [1]. Las Vegas Strip revenue grew 3% to $2.2B with EBITDAR of $735M (+3%), while MGM Digital revenue surged 20% to $196M, demonstrating the BetMGM platform's growth trajectory [1]. Operating cash flow of $2.5B annually funds both property reinvestment and shareholder returns.</w:t>
      </w:r>
    </w:p>
    <w:p>
      <w:pPr>
        <w:spacing w:after="120"/>
      </w:pPr>
      <w:r>
        <w:rPr>
          <w:rFonts w:ascii="Calibri" w:hAnsi="Calibri"/>
          <w:b w:val="0"/>
          <w:color w:val="3A4A28"/>
          <w:sz w:val="20"/>
        </w:rPr>
        <w:t>The bear case centers on extreme leverage and decelerating growth. D/E of 893% reflects $30.2B in total debt against just $2.8B cash, a capital structure dependent on continued EBITDA generation and refinancing access [3]. Consolidated revenue grew only 1% YoY in Q2 2026 with adjusted EBITDA declining to $610M from $648M, and adjusted EPS of $0.59 missed estimates versus $0.79 in the prior year, suggesting operational momentum is fading [1]. MGM China EBITDAR fell 15% as Macau recovery stalls, Regional operations face structural headwinds from online gaming cannibalization, and BetMGM's digital segment remains EBITDAR-negative due to elevated marketing costs and gaming taxes. Profit margin of 2.4% leaves zero buffer for a consumer spending slowdown, and the sale-leaseback structure with VICI Properties creates $2B+ in annual rent obligations that function as effectively mandatory debt service. The takeover offer creates binary risk — if the deal fails, the stock could trade materially lower given the operational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Barry Diller's People Inc. $48.30/share takeover offer represents 70% upside from current price — if consummated, this would deliver immediate shareholder value on a $7.3B market cap company valued at ~$12.4B in the offer [1]</w:t>
      </w:r>
    </w:p>
    <w:p>
      <w:pPr>
        <w:spacing w:before="40" w:after="40"/>
        <w:ind w:left="283"/>
      </w:pPr>
      <w:r>
        <w:rPr>
          <w:rFonts w:ascii="Calibri" w:hAnsi="Calibri"/>
          <w:b/>
          <w:color w:val="4A6B25"/>
          <w:sz w:val="20"/>
        </w:rPr>
        <w:t xml:space="preserve">2. </w:t>
      </w:r>
      <w:r>
        <w:rPr>
          <w:rFonts w:ascii="Calibri" w:hAnsi="Calibri"/>
          <w:b w:val="0"/>
          <w:color w:val="3A4A28"/>
          <w:sz w:val="20"/>
        </w:rPr>
        <w:t>MGM Digital revenue growing 20% YoY to $196M quarterly as BetMGM expands into new legal sports betting and iGaming markets, with a path to EBITDAR profitability as customer acquisition costs normalize and scale economics improve [1]</w:t>
      </w:r>
    </w:p>
    <w:p>
      <w:pPr>
        <w:spacing w:before="40" w:after="40"/>
        <w:ind w:left="283"/>
      </w:pPr>
      <w:r>
        <w:rPr>
          <w:rFonts w:ascii="Calibri" w:hAnsi="Calibri"/>
          <w:b/>
          <w:color w:val="4A6B25"/>
          <w:sz w:val="20"/>
        </w:rPr>
        <w:t xml:space="preserve">3. </w:t>
      </w:r>
      <w:r>
        <w:rPr>
          <w:rFonts w:ascii="Calibri" w:hAnsi="Calibri"/>
          <w:b w:val="0"/>
          <w:color w:val="3A4A28"/>
          <w:sz w:val="20"/>
        </w:rPr>
        <w:t>Las Vegas Strip demand resilience with $2.2B quarterly revenue and 3% growth supported by convention business, entertainment programming, and Formula 1 Grand Prix driving incremental visitation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893% D/E with $30.2B total debt creates refinancing risk in a higher-rate environment, and $2B+ annual VICI Properties lease payments function as de facto senior debt obligations that take priority over equity returns [3]</w:t>
      </w:r>
    </w:p>
    <w:p>
      <w:pPr>
        <w:spacing w:before="40" w:after="40"/>
        <w:ind w:left="283"/>
      </w:pPr>
      <w:r>
        <w:rPr>
          <w:rFonts w:ascii="Calibri" w:hAnsi="Calibri"/>
          <w:b/>
          <w:color w:val="4A6B25"/>
          <w:sz w:val="20"/>
        </w:rPr>
        <w:t xml:space="preserve">2. </w:t>
      </w:r>
      <w:r>
        <w:rPr>
          <w:rFonts w:ascii="Calibri" w:hAnsi="Calibri"/>
          <w:b w:val="0"/>
          <w:color w:val="3A4A28"/>
          <w:sz w:val="20"/>
        </w:rPr>
        <w:t>Consolidated revenue growth of only 1% with adjusted EBITDA declining 6% signals operational deceleration — MGM China EBITDAR fell 15% and adjusted EPS missed consensus at $0.59 versus $0.79 prior year, raising questions about earnings sustainability [1]</w:t>
      </w:r>
    </w:p>
    <w:p>
      <w:pPr>
        <w:spacing w:before="40" w:after="40"/>
        <w:ind w:left="283"/>
      </w:pPr>
      <w:r>
        <w:rPr>
          <w:rFonts w:ascii="Calibri" w:hAnsi="Calibri"/>
          <w:b/>
          <w:color w:val="4A6B25"/>
          <w:sz w:val="20"/>
        </w:rPr>
        <w:t xml:space="preserve">3. </w:t>
      </w:r>
      <w:r>
        <w:rPr>
          <w:rFonts w:ascii="Calibri" w:hAnsi="Calibri"/>
          <w:b w:val="0"/>
          <w:color w:val="3A4A28"/>
          <w:sz w:val="20"/>
        </w:rPr>
        <w:t>Takeover offer uncertainty creates binary risk — if Barry Diller's $48.30/share bid is rejected or fails regulatory approval, the stock could re-rate to fundamental value reflecting ~2.4% profit margins, declining EBITDA, and near-$30B debt load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MGM's core business — operating physical casino resorts with hotel rooms, gaming floors, entertainment venues, restaurants, and convention centers — is structurally immune to AI substitution; you cannot replace a Las Vegas hotel room, blackjack table, or live entertainment show with software [1]. The $30B+ in physical resort assets, gaming licenses (requiring rigorous regulatory approval), and location-based customer experiences create moats that AI cannot replicate. MGM China's Macau operations benefit from similar physical-world protection behind government-granted gaming concessions. The MGM Digital segment (BetMGM) faces somewhat more AI exposure as AI-powered personalization could intensify competition in online sports betting, but this represents &lt;5% of consolidated revenue. AI Opportunity (1/1): MGM generates quantifiable value from AI deployment through its digital concierge platform handling 70,000+ monthly guest conversations, AI-driven demand forecasting for room pricing optimization, and BetMGM's AI-powered personalization engine driving the 20% YoY revenue growth in the Digital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MGM Resorts Q2 2026 Earnings Report — $4.5B Revenue (+1% YoY), $292M Net Income, Adjusted EPS $0.59, EBITDA $610M — Quartr, Zacks, Covers.com, July 2026</w:t>
      </w:r>
    </w:p>
    <w:p>
      <w:pPr>
        <w:spacing w:before="20" w:after="20"/>
        <w:ind w:left="170"/>
      </w:pPr>
      <w:r>
        <w:rPr>
          <w:rFonts w:ascii="Calibri" w:hAnsi="Calibri"/>
          <w:b/>
          <w:color w:val="4A6B25"/>
          <w:sz w:val="15"/>
        </w:rPr>
        <w:t xml:space="preserve">2. </w:t>
      </w:r>
      <w:r>
        <w:rPr>
          <w:rFonts w:ascii="Calibri" w:hAnsi="Calibri"/>
          <w:b w:val="0"/>
          <w:color w:val="3A4A28"/>
          <w:sz w:val="17"/>
        </w:rPr>
        <w:t>MGM Resorts Leadership and AI Strategy — CEO Bill Hornbuckle, CCIO Daniel Yang, AI Concierge 70k+ Monthly Conversations, Glassdoor 3.6/5 — SBC Americas, iGamingFuture, Autobound, Larridin, 2023-2026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MGM Key Statistics, Forward P/E 15.2, D/E 893%, ROE 18.9%, PEG 0.36,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MGM Resorts ESG and Labor — Culinary Union Five-Year Agreement, Sustainalytics ESG Risk Score 24.8, CSR Committee — Bloomberg, SEC Filings, Yahoo Finance,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