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MGRX</w:t>
      </w:r>
      <w:r>
        <w:rPr>
          <w:rFonts w:ascii="Calibri" w:hAnsi="Calibri"/>
          <w:b/>
          <w:color w:val="1A2010"/>
          <w:sz w:val="40"/>
        </w:rPr>
        <w:t xml:space="preserve">  Mangoceuticals, Inc.</w:t>
      </w:r>
    </w:p>
    <w:p>
      <w:pPr>
        <w:spacing w:after="120"/>
      </w:pPr>
      <w:r>
        <w:rPr>
          <w:rFonts w:ascii="Calibri" w:hAnsi="Calibri"/>
          <w:b/>
          <w:color w:val="6E8450"/>
          <w:sz w:val="18"/>
        </w:rPr>
        <w:t>GROWTH SLEEVE · 2026-10-16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Mangoceuticals operates a direct-to-consumer telehealth platform selling men's and women's health products including compounded testosterone, erectile dysfunction treatments, and GLP-1 weight loss medications under the MangoRx and PeachesRx brands. The company generated Q2 2026 revenue of just $69K (down 59% YoY) with annual net losses exceeding $20M. Founded in 2022 and headquartered in Dallas, Texas, Mangoceuticals has a market cap of approximately $7M and 3 full-time employees.</w:t>
      </w:r>
    </w:p>
    <w:p>
      <w:r>
        <w:rPr>
          <w:rFonts w:ascii="Calibri" w:hAnsi="Calibri"/>
          <w:b/>
          <w:color w:val="6E8450"/>
          <w:sz w:val="18"/>
        </w:rPr>
        <w:t>3 Employees · https://www.mangoceuticals.com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Mangoceuticals launched the MangoRx men's telehealth platform and the PeachesRx women's wellness brand in 2025, and secured DEA authorization for its HIPAA-compliant telemedicine platform through Surescripts enabling controlled substance prescriptions [1][2]. However, these represent modest product extensions within a failing revenue trajectory — Q2 2026 revenue of $69K was down 59% YoY from $168K, indicating the platform launches have not generated meaningful commercial traction. AI Deployment (0/2): No evidence of AI-powered products or AI-driven internal efficiencies; the company's telehealth platform uses standard e-commerce and telemedicine technology with no AI differentiation [2]. Market Share (0/2): Mangoceuticals is an insignificant participant in the $50B+ U.S. telehealth market, competing against Hims &amp; Hers ($1.5B+ revenue), Ro, and legacy pharmacy chains; $69K quarterly revenue represents zero measurable market share [1]. Product Pipeline (0/2): The company mentions PRIME oral testosterone and GLP-1 weight loss products but provides no specific launch timelines, clinical data, or revenue visibility beyond vague references to 'targeted market testing' [2]. R&amp;D Intensity (0/1): No R&amp;D spending reported; the company has 3 employees and no research function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Jacob Cohen describes Mangoceuticals as 'reinventing the personal health landscape' through accessible telehealth solutions, but this language is generic, interchangeable with any telehealth startup, and is contradicted by the company's declining revenue, disputed partnership claims, and governance concerns [2][3]. The stated purpose does not differentiate from hundreds of competing telehealth companies and reads as marketing rather than genuine mission. Community Impact (0/2): No evidence of charitable programs, community investment, or social impact initiatives for a company with 3 employees and $69K quarterly revenue [1]. Employee Retention (0/2): With only 3 full-time employees, organizational culture and retention cannot be meaningfully assessed; no Glassdoor data or turnover metrics available [2]. Insider Buying (0/2): No evidence of insider buying; CEO Jacob Cohen received a 500,000-share bonus and repriced underwater stock options to $0.45, representing insider compensation rather than conviction buying [3][4].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Mangoceuticals has minimal leverage with D/E of 2.2% (score 1.0) because the company funds operations through equity dilution rather than debt, having closed a registered direct offering in October 2026 [3][4]. All other available metrics score at floor levels: ROE of -95.1% (score 0.0, 2x weight) reflects massive losses relative to the tiny equity base, revenue growth of -59.1% YoY (score 0.0) signals business deterioration, and profit margin of effectively negative several thousand percent (score 0.0) as the company loses over $20M annually on ~$300K in trailing revenue [1]. Forward P/E and PEG ratio are unavailable due to negative earnings. The company has no analyst coverage and no forward estimates. Daily dollar volume of $4.0M ($0.32 × 12.6M shares) passes the liquidity floor, though trading volume is highly episodic and driven by speculative activity rather than institutional interest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Mangoceuticals operates with an overwhelmingly finite mindset characterized by short-term promotional tactics over long-term capability building. The company made false partnership claims about Eli Lilly and Novo Nordisk that were publicly denied, the CEO repriced underwater stock options and received share bonuses while the business deteriorated, and governance is concentrated under founder/CEO/Chairman Jacob Cohen through the parent entity Cohen Enterprises. There is no evidence of a Just Cause, organizational trust, or strategic flexibility — the company appears optimized for stock promotion rather than enduring value creation.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Mangoceuticals articulates a purpose of 'democratizing access to men's and women's health treatments through telehealth,' but this cause is shallow — it reads as marketing copy interchangeable with any telehealth startup and is contradicted by the company's actions [2][3]. The false partnership claims about Eli Lilly and Novo Nordisk, CEO stock option repricing during business deterioration, and concentration of governance under Cohen Enterprises suggest the company exists primarily for financial engineering rather than advancing healthcare access. Strategic decisions trace to stock price management, not a higher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 full-time employees and governance concentrated under CEO/Chairman Jacob Cohen, who also controls the parent entity Cohen Enterprises, organizational trust is impossible to assess through conventional measures [2][3]. The $73M lawsuit against the former technology consultant Clarity suggests significant interpersonal and contractual breakdown at the company's core, and the stock manipulation investigation following the reverse stock split signals organizational instability rather than a circle of safety [3][4].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Mangoceuticals' competitive language is entirely finite, focused on promotional press releases and claimed partnerships rather than learning from or being inspired by the strengths of dominant competitors like Hims &amp; Hers, Ro, or Amazon Clinic [2][3].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Mangoceuticals is too small and too young (founded 2022) to have faced a meaningful strategic test, and the company's pivot from MangoRx men's health to adding PeachesRx women's health represents a simple product extension, not a transformative cause-driven reinvention [2]. With only $69K in quarterly revenue and 3 employees, the company has not demonstrated the capacity for strategic adaptation.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instead, leadership actions suggest the opposite — CEO Jacob Cohen repriced underwater stock options, received 500,000-share bonuses during business deterioration, and the company made partnership claims about Eli Lilly and Novo Nordisk that were publicly denied by both companies [3][4]. These actions prioritize short-term stock price management over long-term capability building, the antithesis of what Sinek describes as courage to lead.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Mangoceuticals at $0.32 with a $7M market cap is a speculative micro-cap telehealth company selling men's and women's health products (compounded testosterone, ED treatments, GLP-1 medications) through direct-to-consumer platforms MangoRx and PeachesRx [1][2]. The bull case rests entirely on the optionality that the telehealth platform could gain traction: the company secured DEA authorization for controlled substance prescriptions, the addressable market for men's health telehealth is growing rapidly (Hims &amp; Hers reached $1.5B+ revenue), and GLP-1 weight loss treatments represent a massive market opportunity. The October 2026 registered direct offering priced at a 74% premium to market suggests some investor interest in the turnaround potential [4].</w:t>
      </w:r>
    </w:p>
    <w:p>
      <w:pPr>
        <w:spacing w:after="120"/>
      </w:pPr>
      <w:r>
        <w:rPr>
          <w:rFonts w:ascii="Calibri" w:hAnsi="Calibri"/>
          <w:b w:val="0"/>
          <w:color w:val="3A4A28"/>
          <w:sz w:val="20"/>
        </w:rPr>
        <w:t>The bear case is overwhelming and multi-dimensional. Revenue of $69K in Q2 2026 was down 59% YoY, the company burns over $20M annually against negligible revenue, and there is no visible path to profitability with just 3 employees [1]. Governance concerns are severe: Eli Lilly and Novo Nordisk publicly denied partnership claims made by the company, Eli Lilly sued Mangoceuticals over alleged misuse of tirzepatide branding, the CEO repriced underwater options and received share bonuses during business deterioration, and the company initiated a stock manipulation investigation following its reverse stock split [3][4]. The $73M lawsuit against former technology consultant Clarity creates additional legal uncertainty. With no competitive moat, no proprietary technology, and no meaningful revenue, Mangoceuticals faces existential risk from both cash burn and reputational damage in a telehealth market dominated by well-funded competitors like Hims &amp; Hers, Ro, and Amazon Clinic [1][2][3].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GLP-1 weight loss treatment market expanding rapidly — if Mangoceuticals can successfully distribute compounded semaglutide or tirzepatide through its telehealth platform, the TAM is substantial, though Eli Lilly litigation creates significant execution risk [2][4]</w:t>
      </w:r>
    </w:p>
    <w:p>
      <w:pPr>
        <w:spacing w:before="40" w:after="40"/>
        <w:ind w:left="283"/>
      </w:pPr>
      <w:r>
        <w:rPr>
          <w:rFonts w:ascii="Calibri" w:hAnsi="Calibri"/>
          <w:b/>
          <w:color w:val="4A6B25"/>
          <w:sz w:val="20"/>
        </w:rPr>
        <w:t xml:space="preserve">2. </w:t>
      </w:r>
      <w:r>
        <w:rPr>
          <w:rFonts w:ascii="Calibri" w:hAnsi="Calibri"/>
          <w:b w:val="0"/>
          <w:color w:val="3A4A28"/>
          <w:sz w:val="20"/>
        </w:rPr>
        <w:t>October 2026 registered direct offering at 74% premium to market provides near-term cash runway and signals some investor conviction in the turnaround thesis [4]</w:t>
      </w:r>
    </w:p>
    <w:p>
      <w:pPr>
        <w:spacing w:before="40" w:after="40"/>
        <w:ind w:left="283"/>
      </w:pPr>
      <w:r>
        <w:rPr>
          <w:rFonts w:ascii="Calibri" w:hAnsi="Calibri"/>
          <w:b/>
          <w:color w:val="4A6B25"/>
          <w:sz w:val="20"/>
        </w:rPr>
        <w:t xml:space="preserve">3. </w:t>
      </w:r>
      <w:r>
        <w:rPr>
          <w:rFonts w:ascii="Calibri" w:hAnsi="Calibri"/>
          <w:b w:val="0"/>
          <w:color w:val="3A4A28"/>
          <w:sz w:val="20"/>
        </w:rPr>
        <w:t>PeachesRx women's health brand launch expands addressable market beyond men's ED and testosterone into the larger women's wellness telehealth category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cash burn — the company loses over $20M annually against $69K quarterly revenue with no analyst coverage, no profitability timeline, and reliance on continuous dilutive equity offerings to fund operations [1]</w:t>
      </w:r>
    </w:p>
    <w:p>
      <w:pPr>
        <w:spacing w:before="40" w:after="40"/>
        <w:ind w:left="283"/>
      </w:pPr>
      <w:r>
        <w:rPr>
          <w:rFonts w:ascii="Calibri" w:hAnsi="Calibri"/>
          <w:b/>
          <w:color w:val="4A6B25"/>
          <w:sz w:val="20"/>
        </w:rPr>
        <w:t xml:space="preserve">2. </w:t>
      </w:r>
      <w:r>
        <w:rPr>
          <w:rFonts w:ascii="Calibri" w:hAnsi="Calibri"/>
          <w:b w:val="0"/>
          <w:color w:val="3A4A28"/>
          <w:sz w:val="20"/>
        </w:rPr>
        <w:t>Severe governance concerns — false Eli Lilly and Novo Nordisk partnership claims publicly denied by both companies, CEO option repricing, stock manipulation investigation, and governance concentration under Cohen Enterprises undermine credibility with institutional investors [3][4]</w:t>
      </w:r>
    </w:p>
    <w:p>
      <w:pPr>
        <w:spacing w:before="40" w:after="40"/>
        <w:ind w:left="283"/>
      </w:pPr>
      <w:r>
        <w:rPr>
          <w:rFonts w:ascii="Calibri" w:hAnsi="Calibri"/>
          <w:b/>
          <w:color w:val="4A6B25"/>
          <w:sz w:val="20"/>
        </w:rPr>
        <w:t xml:space="preserve">3. </w:t>
      </w:r>
      <w:r>
        <w:rPr>
          <w:rFonts w:ascii="Calibri" w:hAnsi="Calibri"/>
          <w:b w:val="0"/>
          <w:color w:val="3A4A28"/>
          <w:sz w:val="20"/>
        </w:rPr>
        <w:t>Eli Lilly litigation over alleged unauthorized use of tirzepatide branding could result in significant damages and regulatory scrutiny that threatens the company's ability to sell GLP-1 products, its most promising growth vector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Mangoceuticals sells physical compounded medications (testosterone, ED treatments, GLP-1 drugs) through a telehealth consultation platform, which creates a split risk profile [2]. The physical pharmaceutical products require DEA authorization, licensed pharmacy compounding, and medical prescriptions that AI cannot directly substitute — no AI chatbot can legally prescribe or dispense controlled substances. However, the telehealth consultation layer is exposed to AI disruption: AI-powered health assistants from competitors like Amazon Clinic and AI triage tools could automate the basic consultations that represent Mangoceuticals' primary value proposition, and larger platforms with established patient bases and AI integration could easily replicate the company's simple telehealth model. The company has no proprietary technology, data moat, or switching costs to defend against AI-enhanced competitors [1][2]. AI Opportunity (0/1): No AI-related revenue or AI-powered products; the telehealth platform uses standard e-commerce technology with no AI differentiation or AI integration roadmap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Mangoceuticals Q2 2026 10-Q — Revenue $68.8K (-59% YoY), EPS -$0.09, Filing Delays — TradingView, MarketBeat, SEC EDGAR, August 2026</w:t>
      </w:r>
    </w:p>
    <w:p>
      <w:pPr>
        <w:spacing w:before="20" w:after="20"/>
        <w:ind w:left="170"/>
      </w:pPr>
      <w:r>
        <w:rPr>
          <w:rFonts w:ascii="Calibri" w:hAnsi="Calibri"/>
          <w:b/>
          <w:color w:val="4A6B25"/>
          <w:sz w:val="15"/>
        </w:rPr>
        <w:t xml:space="preserve">2. </w:t>
      </w:r>
      <w:r>
        <w:rPr>
          <w:rFonts w:ascii="Calibri" w:hAnsi="Calibri"/>
          <w:b w:val="0"/>
          <w:color w:val="3A4A28"/>
          <w:sz w:val="17"/>
        </w:rPr>
        <w:t>Mangoceuticals CEO Spotlight and Product Strategy — MangoRx, PeachesRx, PRIME Testosterone, GLP-1 Telehealth — Nasdaq.com, GlobeNewsWire, AccessNewsWire, 2025-2026</w:t>
      </w:r>
    </w:p>
    <w:p>
      <w:pPr>
        <w:spacing w:before="20" w:after="20"/>
        <w:ind w:left="170"/>
      </w:pPr>
      <w:r>
        <w:rPr>
          <w:rFonts w:ascii="Calibri" w:hAnsi="Calibri"/>
          <w:b/>
          <w:color w:val="4A6B25"/>
          <w:sz w:val="15"/>
        </w:rPr>
        <w:t xml:space="preserve">3. </w:t>
      </w:r>
      <w:r>
        <w:rPr>
          <w:rFonts w:ascii="Calibri" w:hAnsi="Calibri"/>
          <w:b w:val="0"/>
          <w:color w:val="3A4A28"/>
          <w:sz w:val="17"/>
        </w:rPr>
        <w:t>Mangoceuticals Governance Controversies — Eli Lilly/Novo Nordisk Denied Partnerships, Stock Manipulation Investigation, Clarity Lawsuit — GlobeNewsWire, TipRanks, Longbridge, 2024-2026</w:t>
      </w:r>
    </w:p>
    <w:p>
      <w:pPr>
        <w:spacing w:before="20" w:after="20"/>
        <w:ind w:left="170"/>
      </w:pPr>
      <w:r>
        <w:rPr>
          <w:rFonts w:ascii="Calibri" w:hAnsi="Calibri"/>
          <w:b/>
          <w:color w:val="4A6B25"/>
          <w:sz w:val="15"/>
        </w:rPr>
        <w:t xml:space="preserve">4. </w:t>
      </w:r>
      <w:r>
        <w:rPr>
          <w:rFonts w:ascii="Calibri" w:hAnsi="Calibri"/>
          <w:b w:val="0"/>
          <w:color w:val="3A4A28"/>
          <w:sz w:val="17"/>
        </w:rPr>
        <w:t>Mangoceuticals SEC Filings and Capital Raises — CEO Option Repricing, 74% Premium Direct Offering, Cohen Enterprises Ownership — StockTitan, DefenseWorld, GuruFocus,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