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drawing>
          <wp:inline xmlns:a="http://schemas.openxmlformats.org/drawingml/2006/main" xmlns:pic="http://schemas.openxmlformats.org/drawingml/2006/picture">
            <wp:extent cx="1371600" cy="723227"/>
            <wp:docPr id="1" name="Picture 1"/>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1371600" cy="723227"/>
                    </a:xfrm>
                    <a:prstGeom prst="rect"/>
                  </pic:spPr>
                </pic:pic>
              </a:graphicData>
            </a:graphic>
          </wp:inline>
        </w:drawing>
      </w:r>
    </w:p>
    <w:p>
      <w:pPr>
        <w:spacing w:before="120" w:after="40"/>
      </w:pPr>
      <w:r>
        <w:rPr>
          <w:rFonts w:ascii="Calibri" w:hAnsi="Calibri"/>
          <w:b/>
          <w:color w:val="4A6B25"/>
          <w:sz w:val="56"/>
        </w:rPr>
        <w:t>MGY</w:t>
      </w:r>
      <w:r>
        <w:rPr>
          <w:rFonts w:ascii="Calibri" w:hAnsi="Calibri"/>
          <w:b/>
          <w:color w:val="1A2010"/>
          <w:sz w:val="40"/>
        </w:rPr>
        <w:t xml:space="preserve">  Magnolia Oil &amp; Gas Corp</w:t>
      </w:r>
    </w:p>
    <w:p>
      <w:pPr>
        <w:spacing w:after="120"/>
      </w:pPr>
      <w:r>
        <w:rPr>
          <w:rFonts w:ascii="Calibri" w:hAnsi="Calibri"/>
          <w:b/>
          <w:color w:val="6E8450"/>
          <w:sz w:val="18"/>
        </w:rPr>
        <w:t>DIVIDEND SLEEVE · 2026-09-03 · Inspire: 28 · MIXED</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1200" w:type="dxa"/>
      </w:tblPr>
      <w:tblGrid>
        <w:gridCol w:w="10800"/>
      </w:tblGrid>
      <w:tr>
        <w:tc>
          <w:tcPr>
            <w:tcW w:type="dxa" w:w="10800"/>
            <w:shd w:fill="FFF8E1" w:val="clear"/>
          </w:tcPr>
          <w:p>
            <w:pPr>
              <w:spacing w:before="40" w:after="40"/>
              <w:jc w:val="center"/>
            </w:pPr>
            <w:r>
              <w:rPr>
                <w:rFonts w:ascii="Calibri" w:hAnsi="Calibri"/>
                <w:b/>
                <w:color w:val="D97706"/>
                <w:sz w:val="20"/>
              </w:rPr>
              <w:t>HOLD</w:t>
            </w:r>
          </w:p>
        </w:tc>
      </w:tr>
    </w:tbl>
    <w:p>
      <w:pPr>
        <w:spacing w:before="120" w:after="200"/>
      </w:pPr>
      <w:r>
        <w:rPr>
          <w:rFonts w:ascii="Calibri" w:hAnsi="Calibri"/>
          <w:b/>
          <w:color w:val="1A2010"/>
          <w:sz w:val="80"/>
        </w:rPr>
        <w:t>60</w:t>
      </w:r>
      <w:r>
        <w:rPr>
          <w:rFonts w:ascii="Calibri" w:hAnsi="Calibri"/>
          <w:b w:val="0"/>
          <w:color w:val="9DAF88"/>
          <w:sz w:val="28"/>
        </w:rPr>
        <w:t xml:space="preserve"> / </w:t>
      </w:r>
      <w:r>
        <w:rPr>
          <w:rFonts w:ascii="Calibri" w:hAnsi="Calibri"/>
          <w:b w:val="0"/>
          <w:color w:val="9DAF88"/>
          <w:sz w:val="24"/>
        </w:rPr>
        <w:t>100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COMPANY PROFILE</w:t>
            </w:r>
          </w:p>
        </w:tc>
      </w:tr>
    </w:tbl>
    <w:p>
      <w:r>
        <w:rPr>
          <w:rFonts w:ascii="Calibri" w:hAnsi="Calibri"/>
          <w:b/>
          <w:color w:val="6E8450"/>
          <w:sz w:val="18"/>
        </w:rPr>
        <w:t>Energy · Oil &amp; Gas E&amp;P · NYSE · United States</w:t>
      </w:r>
    </w:p>
    <w:p>
      <w:pPr>
        <w:spacing w:after="80"/>
      </w:pPr>
      <w:r>
        <w:rPr>
          <w:rFonts w:ascii="Calibri" w:hAnsi="Calibri"/>
          <w:b w:val="0"/>
          <w:color w:val="3A4A28"/>
          <w:sz w:val="20"/>
        </w:rPr>
        <w:t>Magnolia Oil &amp; Gas is a Houston-based independent oil and natural gas company with operations concentrated in the Giddings area (Austin Chalk / Eagle Ford) and Karnes County in South Texas. Founded in 2018 by Steve Chazen (former Occidental Petroleum CEO), now led by CEO Christopher Stavros (CEO since September 2022, Chairman since July 2025). The company is built on a disciplined capital allocation model with a low reinvestment rate. Q2 2026 revenue was $478.8M with diluted EPS of $0.97 (+137% YoY), production of 106,100 BOE/day (+8% YoY), and $235M in free cash flow. Pursuing a $4.06B WildFire Energy acquisition. Market cap approximately $6B.</w:t>
      </w:r>
    </w:p>
    <w:p>
      <w:r>
        <w:rPr>
          <w:rFonts w:ascii="Calibri" w:hAnsi="Calibri"/>
          <w:b/>
          <w:color w:val="6E8450"/>
          <w:sz w:val="18"/>
        </w:rPr>
        <w:t>100 Employees · https://www.magnoliaoilgas.com</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EXCELLENCE EVALUATION — THINK LIKE AN OWNER (50%)</w:t>
            </w:r>
          </w:p>
        </w:tc>
      </w:tr>
    </w:tbl>
    <w:p>
      <w:pPr>
        <w:spacing w:before="200" w:after="40"/>
      </w:pPr>
      <w:r>
        <w:rPr>
          <w:rFonts w:ascii="Calibri" w:hAnsi="Calibri"/>
          <w:b/>
          <w:color w:val="1A2010"/>
          <w:sz w:val="22"/>
        </w:rPr>
        <w:t>Innovation</w:t>
      </w:r>
      <w:r>
        <w:rPr>
          <w:rFonts w:ascii="Calibri" w:hAnsi="Calibri"/>
          <w:b w:val="0"/>
          <w:color w:val="1A2010"/>
          <w:sz w:val="22"/>
        </w:rPr>
        <w:t xml:space="preserve">  </w:t>
      </w:r>
      <w:r>
        <w:rPr>
          <w:rFonts w:ascii="Calibri" w:hAnsi="Calibri"/>
          <w:b/>
          <w:color w:val="B8860B"/>
          <w:sz w:val="16"/>
        </w:rPr>
        <w:t xml:space="preserve"> DEVELOPING </w:t>
      </w:r>
    </w:p>
    <w:p>
      <w:pPr>
        <w:spacing w:before="0" w:after="40"/>
      </w:pPr>
      <w:r>
        <w:rPr>
          <w:rFonts w:ascii="Calibri" w:hAnsi="Calibri"/>
          <w:b/>
          <w:color w:val="B8860B"/>
          <w:sz w:val="28"/>
        </w:rPr>
        <w:t>4</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2205"/>
            <w:shd w:fill="B8860B" w:val="clear"/>
          </w:tcPr>
          <w:p>
            <w:pPr>
              <w:spacing w:before="0" w:after="0"/>
            </w:pPr>
            <w:r>
              <w:rPr>
                <w:rFonts w:ascii="Calibri" w:hAnsi="Calibri"/>
                <w:b w:val="0"/>
                <w:color w:val="1A2010"/>
                <w:sz w:val="4"/>
              </w:rPr>
            </w:r>
          </w:p>
        </w:tc>
        <w:tc>
          <w:tcPr>
            <w:tcW w:type="dxa" w:w="3307"/>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Track Record (1/3): Magnolia has successfully executed bolt-on acquisitions expanding core Giddings net acreage and transitioned to multi-well pad development improving capital efficiency, with Q2 2026 production reaching 106,100 BOE/day (+8% YoY) [1]. The pending $4.06B WildFire Energy acquisition would be transformative, roughly doubling the company's scale, but it has not yet closed and represents incremental E&amp;P acreage expansion rather than a business model transformation. AI Deployment (1/2): Magnolia is operationalizing its AI strategy with a formal governance framework, intake process, and policy requiring all AI initiatives to align with measurable ROI, business value, and operational efficiency improvements [2]. This represents structured AI exploration beyond lip service, but no specific AI-driven cost savings or revenue gains have been quantified publicly. Market Share (1/2): Magnolia is a meaningful mid-tier operator in the Austin Chalk / Eagle Ford with 106,100 BOE/day production and a growing Giddings acreage position, though it is not a category leader in U.S. E&amp;P [1]. Product Pipeline (1/2): Raised 2026 standalone production growth guidance to approximately 6% from 5% after strong Q2 results, with a defined two-rig activity plan and the pending $4.06B WildFire Energy acquisition providing specific visibility into growth trajectory [1]. R&amp;D Intensity (0/1): Standard E&amp;P operations with no differentiated R&amp;D spend relative to industry peers.</w:t>
      </w:r>
    </w:p>
    <w:p>
      <w:pPr>
        <w:spacing w:before="200" w:after="40"/>
      </w:pPr>
      <w:r>
        <w:rPr>
          <w:rFonts w:ascii="Calibri" w:hAnsi="Calibri"/>
          <w:b/>
          <w:color w:val="1A2010"/>
          <w:sz w:val="22"/>
        </w:rPr>
        <w:t>Inspiration</w:t>
      </w:r>
      <w:r>
        <w:rPr>
          <w:rFonts w:ascii="Calibri" w:hAnsi="Calibri"/>
          <w:b w:val="0"/>
          <w:color w:val="1A2010"/>
          <w:sz w:val="22"/>
        </w:rPr>
        <w:t xml:space="preserve">  </w:t>
      </w:r>
      <w:r>
        <w:rPr>
          <w:rFonts w:ascii="Calibri" w:hAnsi="Calibri"/>
          <w:b/>
          <w:color w:val="DC2626"/>
          <w:sz w:val="16"/>
        </w:rPr>
        <w:t xml:space="preserve"> WEAK </w:t>
      </w:r>
    </w:p>
    <w:p>
      <w:pPr>
        <w:spacing w:before="0" w:after="40"/>
      </w:pPr>
      <w:r>
        <w:rPr>
          <w:rFonts w:ascii="Calibri" w:hAnsi="Calibri"/>
          <w:b/>
          <w:color w:val="DC2626"/>
          <w:sz w:val="28"/>
        </w:rPr>
        <w:t>2</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102"/>
            <w:shd w:fill="DC2626" w:val="clear"/>
          </w:tcPr>
          <w:p>
            <w:pPr>
              <w:spacing w:before="0" w:after="0"/>
            </w:pPr>
            <w:r>
              <w:rPr>
                <w:rFonts w:ascii="Calibri" w:hAnsi="Calibri"/>
                <w:b w:val="0"/>
                <w:color w:val="1A2010"/>
                <w:sz w:val="4"/>
              </w:rPr>
            </w:r>
          </w:p>
        </w:tc>
        <w:tc>
          <w:tcPr>
            <w:tcW w:type="dxa" w:w="4409"/>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Mission Floor (1/4): Magnolia's stated approach centers on disciplined capital allocation, maintaining a low reinvestment rate, and returning cash to shareholders — functional and clear but generic E&amp;P language without a distinctive purpose beyond shareholder returns [1]. The sustainability page addresses environmental and social practices but does not articulate a transformative mission. Community Impact (0/2): Magnolia has an ESG governance committee and publishes sustainability reports, but no specific charitable programs, foundation activities, or community investment with dollar amounts were identified [3]. Employee Retention (1/2): Lean organization of approximately 100 employees with stable leadership continuity — Christopher Stavros has served as CEO since September 2022 (promoted from CFO, having been with the company since its 2018 founding) and became Chairman in July 2025 [2]. This internal promotion and tenure suggests organizational stability. Insider Buying (0/2): No evidence of meaningful net insider buying by executives in the last 12 months was identified in available data.</w:t>
      </w:r>
    </w:p>
    <w:p>
      <w:pPr>
        <w:spacing w:before="200" w:after="40"/>
      </w:pPr>
      <w:r>
        <w:rPr>
          <w:rFonts w:ascii="Calibri" w:hAnsi="Calibri"/>
          <w:b/>
          <w:color w:val="1A2010"/>
          <w:sz w:val="22"/>
        </w:rPr>
        <w:t>Infrastructure</w:t>
      </w:r>
      <w:r>
        <w:rPr>
          <w:rFonts w:ascii="Calibri" w:hAnsi="Calibri"/>
          <w:b w:val="0"/>
          <w:color w:val="1A2010"/>
          <w:sz w:val="22"/>
        </w:rPr>
        <w:t xml:space="preserve">  </w:t>
      </w:r>
      <w:r>
        <w:rPr>
          <w:rFonts w:ascii="Calibri" w:hAnsi="Calibri"/>
          <w:b/>
          <w:color w:val="16A34A"/>
          <w:sz w:val="16"/>
        </w:rPr>
        <w:t xml:space="preserve"> STRONG </w:t>
      </w:r>
    </w:p>
    <w:p>
      <w:pPr>
        <w:spacing w:before="0" w:after="40"/>
      </w:pPr>
      <w:r>
        <w:rPr>
          <w:rFonts w:ascii="Calibri" w:hAnsi="Calibri"/>
          <w:b/>
          <w:color w:val="16A34A"/>
          <w:sz w:val="28"/>
        </w:rPr>
        <w:t>9</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4961"/>
            <w:shd w:fill="16A34A" w:val="clear"/>
          </w:tcPr>
          <w:p>
            <w:pPr>
              <w:spacing w:before="0" w:after="0"/>
            </w:pPr>
            <w:r>
              <w:rPr>
                <w:rFonts w:ascii="Calibri" w:hAnsi="Calibri"/>
                <w:b w:val="0"/>
                <w:color w:val="1A2010"/>
                <w:sz w:val="4"/>
              </w:rPr>
            </w:r>
          </w:p>
        </w:tc>
        <w:tc>
          <w:tcPr>
            <w:tcW w:type="dxa" w:w="551"/>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Mechanically scored on available metrics. Magnolia clears the liquidity floor with daily dollar volume of approximately $95.7M (2.99M shares at $32) [4]. Exceptional profile across core metrics: D/E of 20% is far below the 70% target (near-zero leverage on a fortress balance sheet), ROE of 20.54% exceeds the 15% target, profit margin of 24.4% exceeds the 20% target, Forward P/E of 9.44x is well below the 20x target, and consensus revenue growth of 30% YoY far exceeds the 10% target [1][4]. Dividend metrics are strong with a low payout ratio of approximately 25% and rapid dividend growth, though the company's relatively short dividend payment history (approximately 7 years since inception) and consecutive growth streak of approximately 4 years score below targets of 10 years each (contributing 0.7 and 0.4 respectively with 2x and 1x weights). Infrastructure weighted sum of 10.8 against max of 12 yields a score of 9.</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FINITE VS INFINITE GAME — SINEK (25%)</w:t>
            </w:r>
          </w:p>
        </w:tc>
      </w:tr>
    </w:tbl>
    <w:p>
      <w:pPr>
        <w:spacing w:after="40"/>
      </w:pPr>
      <w:r>
        <w:rPr>
          <w:rFonts w:ascii="Calibri" w:hAnsi="Calibri"/>
          <w:b w:val="0"/>
          <w:color w:val="6E8450"/>
          <w:sz w:val="22"/>
        </w:rPr>
        <w:t xml:space="preserve">Mindset: </w:t>
      </w:r>
      <w:r>
        <w:rPr>
          <w:rFonts w:ascii="Calibri" w:hAnsi="Calibri"/>
          <w:b/>
          <w:color w:val="B8860B"/>
          <w:sz w:val="22"/>
        </w:rPr>
        <w:t>MIXED</w:t>
      </w:r>
      <w:r>
        <w:rPr>
          <w:rFonts w:ascii="Calibri" w:hAnsi="Calibri"/>
          <w:b w:val="0"/>
          <w:color w:val="6E8450"/>
          <w:sz w:val="22"/>
        </w:rPr>
        <w:t xml:space="preserve">      Overall: </w:t>
      </w:r>
      <w:r>
        <w:rPr>
          <w:rFonts w:ascii="Calibri" w:hAnsi="Calibri"/>
          <w:b/>
          <w:color w:val="B8860B"/>
          <w:sz w:val="28"/>
        </w:rPr>
        <w:t>6</w:t>
      </w:r>
      <w:r>
        <w:rPr>
          <w:rFonts w:ascii="Calibri" w:hAnsi="Calibri"/>
          <w:b w:val="0"/>
          <w:color w:val="9DAF88"/>
          <w:sz w:val="18"/>
        </w:rPr>
        <w:t xml:space="preserve"> /10</w:t>
      </w:r>
    </w:p>
    <w:p>
      <w:pPr>
        <w:spacing w:after="120"/>
      </w:pPr>
      <w:r>
        <w:rPr>
          <w:rFonts w:ascii="Calibri" w:hAnsi="Calibri"/>
          <w:b w:val="0"/>
          <w:color w:val="3A4A28"/>
          <w:sz w:val="18"/>
        </w:rPr>
        <w:t>Magnolia was founded on a distinctive infinite-game premise: that E&amp;P companies should live within cash flow, maintain low reinvestment rates, and return excess capital to shareholders rather than chasing production growth at all costs. This counter-model to shale industry boom-bust capital destruction has been consistently executed under both founder Steve Chazen and successor CEO Christopher Stavros since 2018. However, the pending $4.06B WildFire Energy acquisition represents a significant departure from the company's historically conservative bolt-on approach, testing whether the disciplined philosophy survives a transformative deal. The vision remains ultimately about financial discipline — essential and enduring, but not a transformative cause beyond shareholder returns.</w:t>
      </w:r>
    </w:p>
    <w:p>
      <w:pPr>
        <w:spacing w:before="200" w:after="40"/>
      </w:pPr>
      <w:r>
        <w:rPr>
          <w:rFonts w:ascii="Calibri" w:hAnsi="Calibri"/>
          <w:b/>
          <w:color w:val="1A2010"/>
          <w:sz w:val="22"/>
        </w:rPr>
        <w:t>Just Cause</w:t>
      </w:r>
    </w:p>
    <w:p>
      <w:pPr>
        <w:spacing w:before="0" w:after="40"/>
      </w:pPr>
      <w:r>
        <w:rPr>
          <w:rFonts w:ascii="Calibri" w:hAnsi="Calibri"/>
          <w:b/>
          <w:color w:val="16A34A"/>
          <w:sz w:val="28"/>
        </w:rPr>
        <w:t>7</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858"/>
            <w:shd w:fill="16A34A" w:val="clear"/>
          </w:tcPr>
          <w:p>
            <w:pPr>
              <w:spacing w:before="0" w:after="0"/>
            </w:pPr>
            <w:r>
              <w:rPr>
                <w:rFonts w:ascii="Calibri" w:hAnsi="Calibri"/>
                <w:b w:val="0"/>
                <w:color w:val="1A2010"/>
                <w:sz w:val="4"/>
              </w:rPr>
            </w:r>
          </w:p>
        </w:tc>
        <w:tc>
          <w:tcPr>
            <w:tcW w:type="dxa" w:w="1654"/>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Just Cause (2/3): Magnolia's founding vision — that E&amp;P companies should live within cash flow, maintain reinvestment rates below 50% of operating cash flow, and prioritize returns over production growth — is a genuine, distinctive philosophy in an industry known for boom-bust capital destruction [1]. CEO Stavros has maintained this discipline since succeeding Chazen in 2022, raising the dividend 9% to $0.18/quarter while generating $235M in Q2 free cash flow. The cause is partially lived through consistent execution since 2018, but the $4.06B WildFire acquisition introduces tension with the conservative identity, and the vision is ultimately a financial discipline thesis rather than a vision of a better future beyond profit.</w:t>
      </w:r>
    </w:p>
    <w:p>
      <w:pPr>
        <w:spacing w:before="200" w:after="40"/>
      </w:pPr>
      <w:r>
        <w:rPr>
          <w:rFonts w:ascii="Calibri" w:hAnsi="Calibri"/>
          <w:b/>
          <w:color w:val="1A2010"/>
          <w:sz w:val="22"/>
        </w:rPr>
        <w:t>Trusting Teams</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Trusting Teams (1/2): Lean organization of approximately 100 employees with stable leadership continuity. Stavros's promotion from CFO to CEO in 2022 (then Chairman in 2025) demonstrates internal talent development and succession planning [2]. The small, flat organizational structure suggests direct communication and empowerment, though no specific retention or culture data is publicly available.</w:t>
      </w:r>
    </w:p>
    <w:p>
      <w:pPr>
        <w:spacing w:before="200" w:after="40"/>
      </w:pPr>
      <w:r>
        <w:rPr>
          <w:rFonts w:ascii="Calibri" w:hAnsi="Calibri"/>
          <w:b/>
          <w:color w:val="1A2010"/>
          <w:sz w:val="22"/>
        </w:rPr>
        <w:t>Worthy Rivals</w:t>
      </w:r>
    </w:p>
    <w:p>
      <w:pPr>
        <w:spacing w:before="0" w:after="40"/>
      </w:pPr>
      <w:r>
        <w:rPr>
          <w:rFonts w:ascii="Calibri" w:hAnsi="Calibri"/>
          <w:b/>
          <w:color w:val="16A34A"/>
          <w:sz w:val="28"/>
        </w:rPr>
        <w:t>10</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5512"/>
            <w:shd w:fill="16A34A" w:val="clear"/>
          </w:tcPr>
          <w:p>
            <w:pPr>
              <w:spacing w:before="0" w:after="0"/>
            </w:pPr>
            <w:r>
              <w:rPr>
                <w:rFonts w:ascii="Calibri" w:hAnsi="Calibri"/>
                <w:b w:val="0"/>
                <w:color w:val="1A2010"/>
                <w:sz w:val="4"/>
              </w:rPr>
            </w:r>
          </w:p>
        </w:tc>
        <w:tc>
          <w:tcPr>
            <w:tcW w:type="dxa" w:w="0"/>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Worthy Rivals (1/1): Magnolia frames its competitive positioning around its own capital discipline model rather than attacking specific competitors. Management acknowledges larger Permian operators' scale advantages and focuses on Magnolia's differentiated approach of low reinvestment and high shareholder returns [1]. The company uses peer comparisons to highlight operational efficiency rather than to claim market dominance, framing competition as motivation to improve capital allocation rather than a war to win.</w:t>
      </w:r>
    </w:p>
    <w:p>
      <w:pPr>
        <w:spacing w:before="200" w:after="40"/>
      </w:pPr>
      <w:r>
        <w:rPr>
          <w:rFonts w:ascii="Calibri" w:hAnsi="Calibri"/>
          <w:b/>
          <w:color w:val="1A2010"/>
          <w:sz w:val="22"/>
        </w:rPr>
        <w:t>Existential Flexibility</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Existential Flexibility (1/2): Magnolia has strategically shifted operational focus from Karnes County to Giddings, raised production guidance from 5% to 6%, and now pursued the $4.06B WildFire Energy acquisition to significantly expand acreage and production scale [1]. The WildFire deal represents the largest strategic shift in company history, though it remains an incremental evolution within the same E&amp;P business model rather than a transformative reinvention.</w:t>
      </w:r>
    </w:p>
    <w:p>
      <w:pPr>
        <w:spacing w:before="200" w:after="40"/>
      </w:pPr>
      <w:r>
        <w:rPr>
          <w:rFonts w:ascii="Calibri" w:hAnsi="Calibri"/>
          <w:b/>
          <w:color w:val="1A2010"/>
          <w:sz w:val="22"/>
        </w:rPr>
        <w:t>Courage To Lead</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Courage to Lead (1/2): Magnolia has consistently chosen capital discipline over production growth, keeping reinvestment below 50% of operating cash flow when peers drilled aggressively [1]. Under Stavros, the company raised production guidance to 6% while returning $80M to shareholders through dividends and buybacks in Q2 alone. The $4.06B WildFire Energy acquisition represents a significant strategic bet — roughly equal to the company's pre-announcement market cap — showing willingness to invest for long-term scale while maintaining balance sheet discipline.</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INVESTMENT THESIS</w:t>
            </w:r>
          </w:p>
        </w:tc>
      </w:tr>
    </w:tbl>
    <w:p>
      <w:pPr>
        <w:spacing w:after="120"/>
      </w:pPr>
      <w:r>
        <w:rPr>
          <w:rFonts w:ascii="Calibri" w:hAnsi="Calibri"/>
          <w:b w:val="0"/>
          <w:color w:val="3A4A28"/>
          <w:sz w:val="20"/>
        </w:rPr>
        <w:t>Magnolia Oil &amp; Gas at 9.44x forward earnings with a 2.57% dividend yield, D/E of just 20%, and $235M quarterly free cash flow offers a compelling combination of deep value pricing and fortress balance sheet strength in E&amp;P [1][4]. Q2 2026 delivered $478.8M revenue with diluted EPS of $0.97 (+137% YoY) and production of 106,100 BOE/day (+8% YoY), prompting management to raise standalone production growth guidance to 6% [1]. The pending $4.06B WildFire Energy acquisition would roughly double the company's acreage and production base, creating a significantly larger platform for capital-efficient development. CEO Stavros's continuation of founder Chazen's disciplined capital allocation model — returning $80M through dividends and buybacks in Q2 alone while maintaining near-zero leverage — provides downside protection that most E&amp;P companies lack. AI data center buildout is structurally increasing energy demand, providing a secular tailwind for well-run producers. The Inspire Impact Score of 28 (ALIGNED) makes this suitable for faith-based portfolios.</w:t>
      </w:r>
    </w:p>
    <w:p>
      <w:pPr>
        <w:spacing w:after="120"/>
      </w:pPr>
      <w:r>
        <w:rPr>
          <w:rFonts w:ascii="Calibri" w:hAnsi="Calibri"/>
          <w:b w:val="0"/>
          <w:color w:val="3A4A28"/>
          <w:sz w:val="20"/>
        </w:rPr>
        <w:t>The bear case centers on commodity price exposure, acquisition integration risk, and limited growth ceiling. Magnolia is entirely unhedged, meaning revenue and earnings are fully exposed to oil price volatility — a sustained decline below $60/bbl would compress the 24.4% profit margin despite the low-cost structure [1]. The $4.06B WildFire acquisition represents a significant integration challenge and departure from the company's historically conservative bolt-on approach — execution risk is elevated, and financing terms could increase leverage meaningfully from the current fortress position. The PEG ratio of 3.23 suggests the market prices in limited long-term growth beyond the current production trajectory. The relatively short 7-year dividend payment history and 4-year growth streak provide less reliability than established dividend aristocrats. Revenue of ~$1.9B and ~100 employees make this a mid-cap E&amp;P with limited scale advantages versus larger Permian operators.</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KEY CATALYSTS</w:t>
            </w:r>
          </w:p>
        </w:tc>
      </w:tr>
    </w:tbl>
    <w:p>
      <w:pPr>
        <w:spacing w:before="40" w:after="40"/>
        <w:ind w:left="283"/>
      </w:pPr>
      <w:r>
        <w:rPr>
          <w:rFonts w:ascii="Calibri" w:hAnsi="Calibri"/>
          <w:b/>
          <w:color w:val="4A6B25"/>
          <w:sz w:val="20"/>
        </w:rPr>
        <w:t xml:space="preserve">1. </w:t>
      </w:r>
      <w:r>
        <w:rPr>
          <w:rFonts w:ascii="Calibri" w:hAnsi="Calibri"/>
          <w:b w:val="0"/>
          <w:color w:val="3A4A28"/>
          <w:sz w:val="20"/>
        </w:rPr>
        <w:t>Successful closing and integration of the $4.06B WildFire Energy acquisition, which would roughly double Magnolia's acreage and production base, creating a significantly larger platform for capital-efficient development and potentially re-rating the stock [1]</w:t>
      </w:r>
    </w:p>
    <w:p>
      <w:pPr>
        <w:spacing w:before="40" w:after="40"/>
        <w:ind w:left="283"/>
      </w:pPr>
      <w:r>
        <w:rPr>
          <w:rFonts w:ascii="Calibri" w:hAnsi="Calibri"/>
          <w:b/>
          <w:color w:val="4A6B25"/>
          <w:sz w:val="20"/>
        </w:rPr>
        <w:t xml:space="preserve">2. </w:t>
      </w:r>
      <w:r>
        <w:rPr>
          <w:rFonts w:ascii="Calibri" w:hAnsi="Calibri"/>
          <w:b w:val="0"/>
          <w:color w:val="3A4A28"/>
          <w:sz w:val="20"/>
        </w:rPr>
        <w:t>Continuation of strong production growth (Q2 at 106,100 BOE/day, +8% YoY) with raised guidance of 6% for 2026, combined with $235M quarterly free cash flow supporting the 2.57% dividend yield and share buyback program [1]</w:t>
      </w:r>
    </w:p>
    <w:p>
      <w:pPr>
        <w:spacing w:before="40" w:after="40"/>
        <w:ind w:left="283"/>
      </w:pPr>
      <w:r>
        <w:rPr>
          <w:rFonts w:ascii="Calibri" w:hAnsi="Calibri"/>
          <w:b/>
          <w:color w:val="4A6B25"/>
          <w:sz w:val="20"/>
        </w:rPr>
        <w:t xml:space="preserve">3. </w:t>
      </w:r>
      <w:r>
        <w:rPr>
          <w:rFonts w:ascii="Calibri" w:hAnsi="Calibri"/>
          <w:b w:val="0"/>
          <w:color w:val="3A4A28"/>
          <w:sz w:val="20"/>
        </w:rPr>
        <w:t>AI data center buildout and global electrification driving structural increases in energy demand, creating a secular tailwind for low-cost, unhedged oil producers with strong balance sheets</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DC2626"/>
            </w:tcBorders>
          </w:tcPr>
          <w:p>
            <w:pPr>
              <w:spacing w:before="240" w:after="80"/>
            </w:pPr>
            <w:r>
              <w:rPr>
                <w:rFonts w:ascii="Calibri" w:hAnsi="Calibri"/>
                <w:b/>
                <w:color w:val="6E8450"/>
                <w:sz w:val="17"/>
              </w:rPr>
              <w:t>KEY RISKS</w:t>
            </w:r>
          </w:p>
        </w:tc>
      </w:tr>
    </w:tbl>
    <w:p>
      <w:pPr>
        <w:spacing w:before="40" w:after="40"/>
        <w:ind w:left="283"/>
      </w:pPr>
      <w:r>
        <w:rPr>
          <w:rFonts w:ascii="Calibri" w:hAnsi="Calibri"/>
          <w:b/>
          <w:color w:val="4A6B25"/>
          <w:sz w:val="20"/>
        </w:rPr>
        <w:t xml:space="preserve">1. </w:t>
      </w:r>
      <w:r>
        <w:rPr>
          <w:rFonts w:ascii="Calibri" w:hAnsi="Calibri"/>
          <w:b w:val="0"/>
          <w:color w:val="3A4A28"/>
          <w:sz w:val="20"/>
        </w:rPr>
        <w:t>Entirely unhedged oil exposure means revenue and earnings are fully correlated with commodity prices — a sustained oil price decline below $60/bbl would compress margins despite the low-cost structure, and the $4.06B WildFire acquisition could increase vulnerability to commodity downturns [1]</w:t>
      </w:r>
    </w:p>
    <w:p>
      <w:pPr>
        <w:spacing w:before="40" w:after="40"/>
        <w:ind w:left="283"/>
      </w:pPr>
      <w:r>
        <w:rPr>
          <w:rFonts w:ascii="Calibri" w:hAnsi="Calibri"/>
          <w:b/>
          <w:color w:val="4A6B25"/>
          <w:sz w:val="20"/>
        </w:rPr>
        <w:t xml:space="preserve">2. </w:t>
      </w:r>
      <w:r>
        <w:rPr>
          <w:rFonts w:ascii="Calibri" w:hAnsi="Calibri"/>
          <w:b w:val="0"/>
          <w:color w:val="3A4A28"/>
          <w:sz w:val="20"/>
        </w:rPr>
        <w:t>$4.06B WildFire Energy acquisition represents significant execution and integration risk — roughly equal to the company's pre-announcement market cap — and could strain the fortress balance sheet identity if financing increases leverage meaningfully</w:t>
      </w:r>
    </w:p>
    <w:p>
      <w:pPr>
        <w:spacing w:before="40" w:after="40"/>
        <w:ind w:left="283"/>
      </w:pPr>
      <w:r>
        <w:rPr>
          <w:rFonts w:ascii="Calibri" w:hAnsi="Calibri"/>
          <w:b/>
          <w:color w:val="4A6B25"/>
          <w:sz w:val="20"/>
        </w:rPr>
        <w:t xml:space="preserve">3. </w:t>
      </w:r>
      <w:r>
        <w:rPr>
          <w:rFonts w:ascii="Calibri" w:hAnsi="Calibri"/>
          <w:b w:val="0"/>
          <w:color w:val="3A4A28"/>
          <w:sz w:val="20"/>
        </w:rPr>
        <w:t>PEG ratio of 3.23 suggests the market prices limited long-term earnings growth, and the company's 7-year dividend history lacks the multi-decade track record that income-oriented investors seek in core portfolio holdings [4]</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AI RESILIENCE (25%)</w:t>
            </w:r>
          </w:p>
        </w:tc>
      </w:tr>
    </w:tbl>
    <w:p>
      <w:pPr>
        <w:spacing w:before="200" w:after="40"/>
      </w:pPr>
      <w:r>
        <w:rPr>
          <w:rFonts w:ascii="Calibri" w:hAnsi="Calibri"/>
          <w:b/>
          <w:color w:val="1A2010"/>
          <w:sz w:val="22"/>
        </w:rPr>
        <w:t>AI Resilience</w:t>
      </w:r>
      <w:r>
        <w:rPr>
          <w:rFonts w:ascii="Calibri" w:hAnsi="Calibri"/>
          <w:b w:val="0"/>
          <w:color w:val="1A2010"/>
          <w:sz w:val="22"/>
        </w:rPr>
        <w:t xml:space="preserve">  </w:t>
      </w:r>
      <w:r>
        <w:rPr>
          <w:rFonts w:ascii="Calibri" w:hAnsi="Calibri"/>
          <w:b/>
          <w:color w:val="16A34A"/>
          <w:sz w:val="16"/>
        </w:rPr>
        <w:t xml:space="preserve"> LOW RISK </w:t>
      </w:r>
    </w:p>
    <w:p>
      <w:pPr>
        <w:spacing w:before="0" w:after="40"/>
      </w:pPr>
      <w:r>
        <w:rPr>
          <w:rFonts w:ascii="Calibri" w:hAnsi="Calibri"/>
          <w:b/>
          <w:color w:val="16A34A"/>
          <w:sz w:val="28"/>
        </w:rPr>
        <w:t>8</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4409"/>
            <w:shd w:fill="16A34A" w:val="clear"/>
          </w:tcPr>
          <w:p>
            <w:pPr>
              <w:spacing w:before="0" w:after="0"/>
            </w:pPr>
            <w:r>
              <w:rPr>
                <w:rFonts w:ascii="Calibri" w:hAnsi="Calibri"/>
                <w:b w:val="0"/>
                <w:color w:val="1A2010"/>
                <w:sz w:val="4"/>
              </w:rPr>
            </w:r>
          </w:p>
        </w:tc>
        <w:tc>
          <w:tcPr>
            <w:tcW w:type="dxa" w:w="1102"/>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AI Risk Protection (8/9 — IMMUNE): Magnolia's core business is physical oil and gas extraction from wells in the Giddings and Karnes areas of South Texas — an activity that AI structurally cannot displace [1]. Hydrocarbon production requires drilling, completion, and surface operations involving heavy machinery, geological expertise, and physical infrastructure that are immune to software substitution. The explosive growth of AI data centers is actually increasing global energy demand, creating a direct tailwind for oil and gas producers. No analysts have flagged AI as a risk to Magnolia's core business. AI Opportunity (0/1): No quantified AI revenue or AI-powered products shipping to customers. Magnolia is operationalizing an internal AI strategy for operational efficiency but does not generate revenue from AI products or services [2].</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FAITH ALIGNMENT — INSPIRE INSIGHT</w:t>
            </w:r>
          </w:p>
        </w:tc>
      </w:tr>
    </w:tbl>
    <w:p>
      <w:pPr>
        <w:spacing w:after="40"/>
      </w:pPr>
      <w:r>
        <w:rPr>
          <w:rFonts w:ascii="Calibri" w:hAnsi="Calibri"/>
          <w:b w:val="0"/>
          <w:color w:val="6E8450"/>
          <w:sz w:val="22"/>
        </w:rPr>
        <w:t xml:space="preserve">Inspire Impact Score:  </w:t>
      </w:r>
      <w:r>
        <w:rPr>
          <w:rFonts w:ascii="Calibri" w:hAnsi="Calibri"/>
          <w:b/>
          <w:color w:val="16A34A"/>
          <w:sz w:val="28"/>
        </w:rPr>
        <w:t>28</w:t>
      </w:r>
      <w:r>
        <w:rPr>
          <w:rFonts w:ascii="Calibri" w:hAnsi="Calibri"/>
          <w:b/>
          <w:color w:val="B8860B"/>
          <w:sz w:val="20"/>
        </w:rPr>
        <w:t xml:space="preserve">    ALIGNED</w:t>
      </w:r>
    </w:p>
    <w:p>
      <w:pPr>
        <w:spacing w:before="80" w:after="40"/>
      </w:pPr>
      <w:r>
        <w:rPr>
          <w:rFonts w:ascii="Calibri" w:hAnsi="Calibri"/>
          <w:b/>
          <w:color w:val="6E8450"/>
          <w:sz w:val="18"/>
        </w:rPr>
        <w:t xml:space="preserve">Positive: </w:t>
      </w:r>
      <w:r>
        <w:rPr>
          <w:rFonts w:ascii="Calibri" w:hAnsi="Calibri"/>
          <w:b/>
          <w:color w:val="16A34A"/>
          <w:sz w:val="17"/>
        </w:rPr>
        <w:t xml:space="preserve"> Business Resilience </w:t>
      </w:r>
      <w:r>
        <w:rPr>
          <w:rFonts w:ascii="Calibri" w:hAnsi="Calibri"/>
          <w:b w:val="0"/>
          <w:color w:val="9DAF88"/>
          <w:sz w:val="17"/>
        </w:rPr>
        <w:t xml:space="preserve">  ·  </w:t>
      </w:r>
      <w:r>
        <w:rPr>
          <w:rFonts w:ascii="Calibri" w:hAnsi="Calibri"/>
          <w:b/>
          <w:color w:val="16A34A"/>
          <w:sz w:val="17"/>
        </w:rPr>
        <w:t xml:space="preserve"> GHG Emissions </w:t>
      </w:r>
    </w:p>
    <w:p>
      <w:pPr>
        <w:spacing w:before="120"/>
      </w:pPr>
      <w:r>
        <w:rPr>
          <w:rFonts w:ascii="Calibri" w:hAnsi="Calibri"/>
          <w:b w:val="0"/>
          <w:color w:val="9DAF88"/>
          <w:sz w:val="15"/>
        </w:rPr>
        <w:t>Source: Inspire Insight</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RESOURCES</w:t>
            </w:r>
          </w:p>
        </w:tc>
      </w:tr>
    </w:tbl>
    <w:p>
      <w:pPr>
        <w:spacing w:before="20" w:after="20"/>
        <w:ind w:left="170"/>
      </w:pPr>
      <w:r>
        <w:rPr>
          <w:rFonts w:ascii="Calibri" w:hAnsi="Calibri"/>
          <w:b/>
          <w:color w:val="4A6B25"/>
          <w:sz w:val="15"/>
        </w:rPr>
        <w:t xml:space="preserve">1. </w:t>
      </w:r>
      <w:r>
        <w:rPr>
          <w:rFonts w:ascii="Calibri" w:hAnsi="Calibri"/>
          <w:b w:val="0"/>
          <w:color w:val="3A4A28"/>
          <w:sz w:val="17"/>
        </w:rPr>
        <w:t>Magnolia Oil &amp; Gas Q2 2026 Earnings Release — Revenue $478.8M, EPS $0.97 (+137% YoY), Production 106,100 BOE/day (+8%), FCF $235M, Production Guidance Raised to 6%, Dividend Increased to $0.18/quarter — SEC 8-K, NASDAQ, Yahoo Finance, August 2026</w:t>
      </w:r>
    </w:p>
    <w:p>
      <w:pPr>
        <w:spacing w:before="20" w:after="20"/>
        <w:ind w:left="170"/>
      </w:pPr>
      <w:r>
        <w:rPr>
          <w:rFonts w:ascii="Calibri" w:hAnsi="Calibri"/>
          <w:b/>
          <w:color w:val="4A6B25"/>
          <w:sz w:val="15"/>
        </w:rPr>
        <w:t xml:space="preserve">2. </w:t>
      </w:r>
      <w:r>
        <w:rPr>
          <w:rFonts w:ascii="Calibri" w:hAnsi="Calibri"/>
          <w:b w:val="0"/>
          <w:color w:val="3A4A28"/>
          <w:sz w:val="17"/>
        </w:rPr>
        <w:t>Magnolia Oil &amp; Gas Leadership and AI Strategy — CEO Christopher Stavros (since Sept 2022, Chairman July 2025), AI Governance Framework and Policy, WildFire Energy Acquisition — Craft.co, PRNewswire, Corporate Website, 2025-2026</w:t>
      </w:r>
    </w:p>
    <w:p>
      <w:pPr>
        <w:spacing w:before="20" w:after="20"/>
        <w:ind w:left="170"/>
      </w:pPr>
      <w:r>
        <w:rPr>
          <w:rFonts w:ascii="Calibri" w:hAnsi="Calibri"/>
          <w:b/>
          <w:color w:val="4A6B25"/>
          <w:sz w:val="15"/>
        </w:rPr>
        <w:t xml:space="preserve">3. </w:t>
      </w:r>
      <w:r>
        <w:rPr>
          <w:rFonts w:ascii="Calibri" w:hAnsi="Calibri"/>
          <w:b w:val="0"/>
          <w:color w:val="3A4A28"/>
          <w:sz w:val="17"/>
        </w:rPr>
        <w:t>Magnolia Oil &amp; Gas ESG and Sustainability — Governance Committee ESG Oversight, Sustainability Reporting, No Controversies Identified — SEC Filings, CSRHub, Corporate Website, 2022-2026</w:t>
      </w:r>
    </w:p>
    <w:p>
      <w:pPr>
        <w:spacing w:before="20" w:after="20"/>
        <w:ind w:left="170"/>
      </w:pPr>
      <w:r>
        <w:rPr>
          <w:rFonts w:ascii="Calibri" w:hAnsi="Calibri"/>
          <w:b/>
          <w:color w:val="4A6B25"/>
          <w:sz w:val="15"/>
        </w:rPr>
        <w:t xml:space="preserve">4. </w:t>
      </w:r>
      <w:r>
        <w:rPr>
          <w:rFonts w:ascii="Calibri" w:hAnsi="Calibri"/>
          <w:b w:val="0"/>
          <w:color w:val="3A4A28"/>
          <w:sz w:val="17"/>
        </w:rPr>
        <w:t>Magnolia Oil &amp; Gas Financial Statistics — Stock Price ~$32, Forward P/E 9.44, D/E 20%, ROE 20.54%, Profit Margin 24.4%, PEG 3.23, Dividend Yield 2.57%, Avg Volume 2.99M — StockAnalysis, Yahoo Finance, accessed September 2026</w:t>
      </w:r>
    </w:p>
    <w:p>
      <w:pPr>
        <w:spacing w:before="400"/>
        <w:jc w:val="center"/>
      </w:pPr>
      <w:r>
        <w:rPr>
          <w:rFonts w:ascii="Calibri" w:hAnsi="Calibri"/>
          <w:b w:val="0"/>
          <w:color w:val="9DAF88"/>
          <w:sz w:val="16"/>
        </w:rPr>
        <w:t>Paradiem, LLC dba Intentional Ownership (“IOWN”) is a registered investment advisor. The information provided is for educational and informational purposes only and does not constitute investment advice.</w:t>
      </w:r>
    </w:p>
    <w:sectPr w:rsidR="00FC693F" w:rsidRPr="0006063C" w:rsidSect="00034616">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