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MKC</w:t>
      </w:r>
      <w:r>
        <w:rPr>
          <w:rFonts w:ascii="Calibri" w:hAnsi="Calibri"/>
          <w:b/>
          <w:color w:val="1A2010"/>
          <w:sz w:val="40"/>
        </w:rPr>
        <w:t xml:space="preserve">  McCormick &amp; Company, Incorporated</w:t>
      </w:r>
    </w:p>
    <w:p>
      <w:pPr>
        <w:spacing w:after="120"/>
      </w:pPr>
      <w:r>
        <w:rPr>
          <w:rFonts w:ascii="Calibri" w:hAnsi="Calibri"/>
          <w:b/>
          <w:color w:val="6E8450"/>
          <w:sz w:val="18"/>
        </w:rPr>
        <w:t>DIVIDEND SLEEVE · 2026-09-01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McCormick &amp; Company is the global leader in spices, seasonings, and flavor solutions. The company operates in two segments: Consumer (retail brands including McCormick, French's, Frank's RedHot, OLD BAY, Lawry's) and Flavor Solutions (foodservice and industrial ingredients). Founded in 1889, McCormick has paid consecutive dividends for over 100 years and raised dividends for 39 consecutive years, making it a Dividend Aristocrat.</w:t>
      </w:r>
    </w:p>
    <w:p>
      <w:r>
        <w:rPr>
          <w:rFonts w:ascii="Calibri" w:hAnsi="Calibri"/>
          <w:b/>
          <w:color w:val="6E8450"/>
          <w:sz w:val="18"/>
        </w:rPr>
        <w:t>14,100 Employees · https://www.mccormickcorporation.com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McCormick completed the acquisition of an additional 25% ownership in McCormick de Mexico on January 2, 2026, consolidating a key growth market [1]. Prior bolt-on acquisitions (Cholula, FONA International) extended the flavor portfolio, but these represent incremental extensions rather than transformative business model pivots. AI Deployment (2/2): McCormick's AI-powered product development platform, deployed in partnership with IBM, enables 500+ product developers worldwide to analyze flavor compounds and consumer preferences — a distinctive, measurable application of AI that directly generates product innovation and shipping consumer products [2]. The company also leverages intelligent automation and supply chain analytics under CTO Guy Peri's data transformation initiative [2]. Market Share (2/2): McCormick is the undisputed global leader in spices and seasonings with dominant retail shelf space. Q2 FY2026 Consumer segment revenue surged 22.8% YoY to $1.14B, demonstrating category leadership [1]. The McCormick de Mexico consolidation further solidified market position in Latin America. Product Pipeline (1/2): FY2026 guidance calls for 13-17% total revenue growth with organic growth of 1-3%, plus ongoing flavor line extensions and new product development through AI-powered innovation. No breakthrough new categories announced with specific timelines. R&amp;D Intensity (1/1): Significant investment in flavor science, AI-powered product development, and digital capabilities including ERP modernization under CTO Guy Peri, positioning McCormick above consumer staples peers in technology spending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McCormick's purpose — 'To Stand Together for the Future of Flavor' — is specific, thoughtful, and genuinely connects the company's work to sustainable food systems, cultural heritage, and community empowerment [3]. It differentiates McCormick from generic consumer staples peers and reflects genuine intentionality from 137 years of flavor-focused identity. Community Impact (2/2): McCormick maintains deep engagement with farming communities where spices are sourced globally, investing in sustainable agriculture and farmer livelihoods with commitments aligned to UN Sustainable Development Goals and a net zero emissions by 2050 target [3]. The company's Purpose-led Performance ESG framework drives tangible community investment across sourcing regions. Employee Retention (1/2): McCormick's 137-year history with only 11 CEOs demonstrates exceptional leadership continuity — CEO Brendan Foley was promoted from within after joining in 2014 [2]. This internal succession pipeline suggests a healthy culture of development, though no specific retention metrics or turnover data are publicly available. Insider Buying (0/2): No evidence of meaningful net insider buying by CEO Foley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FY2026 delivered $1.94B in revenue (up 16.7% YoY) with adjusted operating income up 30% to $336.4M (margin 17.4%, +180bp) and adjusted EPS of $0.80 (up 16%), beating the $0.70 consensus [1]. Gross margin expanded 270bp aided by CCI cost savings, pricing, and a tariff refund. D/E of 65% is below the 70% target, reflecting disciplined leverage. Trailing ROE of 24.73% and profit margin of 21.91% are elevated by the McCormick de Mexico consolidation gain — on an adjusted basis, underlying profitability remains solid but more modest. Forward P/E of 16.33 (down from 21x after the 28.7% stock decline) is now well below the 20 target. Dividend profile is exceptional: 3.77% yield at the compressed price, ~62% payout on adjusted EPS, 100+ consecutive years of payment, 39 consecutive years of growth, and ~9% 5yr dividend growth CAGR [4]. FY2026 guidance reaffirmed at $3.05-$3.13 adjusted EPS with 13-17% revenue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McCormick is a naturally infinite institution with 137 years of continuous operation, only 11 CEOs in its history, and 39 consecutive years of dividend growth — strong evidence of playing to keep playing. CEO Foley's focus on 'raw consumer needs' and competitive advantage over short-term trends reflects infinite instincts. However, the company's low organic growth trajectory and acquisition-driven strategy limit the scope for transformative existential flexibility, and the competitive language centers on operational targets rather than a transcendent vision of the future.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 Stand Together for the Future of Flavor' is a genuine, distinctive purpose that connects McCormick's business to sustainable food systems, farming communities, and cultural heritage [3]. The 137-year track record of consistent flavor-focused identity validates the cause's durability — McCormick has maintained its purpose through world wars, the industrial food revolution, and the organic/natural movement. However, the cause hasn't been tested by a truly transformative strategic sacrifice in the Sinek sense — McCormick has never had to abandon a profitable core business in service of the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McCormick's 137-year history with only 11 CEOs suggests exceptional organizational stability and leadership trust [2]. CEO Foley's promotion from within (joined 2014, became CEO) reflects a culture of internal development and succession planning. The emphasis on digital fluency and celebrating early adopters shows respect for employee growth. However, no specific employee satisfaction data, turnover metrics, or evidence of exceptional psychological safety was found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McCormick acknowledges private label competition and emerging specialty brands as motivations to innovate in flavor, packaging, and digital engagement. CEO Foley's strategy of focusing on competitive advantage while 'radically simplifying everything else' reflects learning from market dynamics rather than defensive market-share warfare [2]. The company's response to algorithmic shopping risk shows awareness of evolving competitive threats without resorting to finite 'winning' language.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McCormick has evolved from a regional Baltimore spice company to a global flavor solutions platform, expanding from consumer retail into foodservice and industrial ingredients through strategic acquisitions including Cholula, FONA International, and McCormick de Mexico [1]. This trajectory demonstrates meaningful strategic evolution. However, the core business model — sourcing, processing, and selling spices and seasonings — has remained fundamentally unchanged for 137 years. This is admirable consistency,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Foley told leadership they 'couldn't wait for the industry to get healthy,' demonstrating willingness to invest and act during challenging times rather than retrench [2]. The McCormick de Mexico consolidation was a meaningful capital allocation decision. The company invested in AI-powered innovation when competitors were cutting R&amp;D. However, McCormick has not made a truly contrarian or costly strategic bet that visibly sacrificed near-term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McCormick is the global flavor leader delivering Dividend Aristocrat reliability — 39 consecutive years of dividend growth, 3.77% yield at the compressed price, and 100+ years of consecutive dividend payments [4]. Q2 FY2026 delivered $1.94B revenue (up 16.7% YoY) with adjusted operating income surging 30% to $336.4M and adjusted EPS of $0.80 beating the $0.70 consensus [1]. After a 28.7% stock decline over 52 weeks, the forward P/E has compressed to 16.33x — now well below historical norms for a Dividend Aristocrat with 137 years of continuous operation. FY2026 guidance reaffirmed at $3.05-$3.13 adjusted EPS with 13-17% revenue growth. D/E of 65% is well-managed, ROE has improved to 24.73%, and AI-powered product development through the IBM partnership across 500+ developers drives differentiated innovation [2].</w:t>
      </w:r>
    </w:p>
    <w:p>
      <w:pPr>
        <w:spacing w:after="120"/>
      </w:pPr>
      <w:r>
        <w:rPr>
          <w:rFonts w:ascii="Calibri" w:hAnsi="Calibri"/>
          <w:b w:val="0"/>
          <w:color w:val="3A4A28"/>
          <w:sz w:val="20"/>
        </w:rPr>
        <w:t>The bear case centers on organic growth limitations despite strong headline numbers. Excluding McCormick de Mexico, organic growth was only 1.2-1.7% driven by price rather than volume, reflecting the structural challenge of growing a mature spice category [1]. The 28.7% stock decline over 52 weeks signals market concern about acquisition-dependent growth — the McCormick de Mexico consolidation inflates trailing metrics (ROE, profit margin) with one-time revaluation gains that will normalize. PEG of 2.62 remains elevated for low organic growth. The ~62% payout ratio on adjusted EPS limits dividend growth headroom if organic earnings stagnate. Consumer staples face structural headwinds from GLP-1 weight-loss drug adoption, changing dietary preferences, and private label competition that could compress McCormick's pricing power in discretionary seasoning categories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McCormick de Mexico consolidation driving 11-13% inorganic revenue contribution in FY2026 with gross margin expansion of 100-120bp as integration synergies materialize [1]</w:t>
      </w:r>
    </w:p>
    <w:p>
      <w:pPr>
        <w:spacing w:before="40" w:after="40"/>
        <w:ind w:left="283"/>
      </w:pPr>
      <w:r>
        <w:rPr>
          <w:rFonts w:ascii="Calibri" w:hAnsi="Calibri"/>
          <w:b/>
          <w:color w:val="4A6B25"/>
          <w:sz w:val="20"/>
        </w:rPr>
        <w:t xml:space="preserve">2. </w:t>
      </w:r>
      <w:r>
        <w:rPr>
          <w:rFonts w:ascii="Calibri" w:hAnsi="Calibri"/>
          <w:b w:val="0"/>
          <w:color w:val="3A4A28"/>
          <w:sz w:val="20"/>
        </w:rPr>
        <w:t>AI-powered flavor innovation through IBM partnership deployed across 500+ product developers, accelerating new product development velocity and creating differentiated offerings [2]</w:t>
      </w:r>
    </w:p>
    <w:p>
      <w:pPr>
        <w:spacing w:before="40" w:after="40"/>
        <w:ind w:left="283"/>
      </w:pPr>
      <w:r>
        <w:rPr>
          <w:rFonts w:ascii="Calibri" w:hAnsi="Calibri"/>
          <w:b/>
          <w:color w:val="4A6B25"/>
          <w:sz w:val="20"/>
        </w:rPr>
        <w:t xml:space="preserve">3. </w:t>
      </w:r>
      <w:r>
        <w:rPr>
          <w:rFonts w:ascii="Calibri" w:hAnsi="Calibri"/>
          <w:b w:val="0"/>
          <w:color w:val="3A4A28"/>
          <w:sz w:val="20"/>
        </w:rPr>
        <w:t>Dividend Aristocrat status with 39 consecutive years of growth and 9% 5yr CAGR providing a reliable income floor that attracts defensive capital in uncertain markets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growth stagnation — excluding acquisitions, organic sales grew only 1.2-1.7% in H1 FY2026 driven by price not volume, reflecting mature category dynamics and private label competitive pressure [1]</w:t>
      </w:r>
    </w:p>
    <w:p>
      <w:pPr>
        <w:spacing w:before="40" w:after="40"/>
        <w:ind w:left="283"/>
      </w:pPr>
      <w:r>
        <w:rPr>
          <w:rFonts w:ascii="Calibri" w:hAnsi="Calibri"/>
          <w:b/>
          <w:color w:val="4A6B25"/>
          <w:sz w:val="20"/>
        </w:rPr>
        <w:t xml:space="preserve">2. </w:t>
      </w:r>
      <w:r>
        <w:rPr>
          <w:rFonts w:ascii="Calibri" w:hAnsi="Calibri"/>
          <w:b w:val="0"/>
          <w:color w:val="3A4A28"/>
          <w:sz w:val="20"/>
        </w:rPr>
        <w:t>Stock already down 28.7% in 52 weeks — any miss on FY2026 EPS guidance of $3.05-$3.13 could trigger further declines, and trailing metrics inflated by one-time Mexico consolidation gains will normalize [4]</w:t>
      </w:r>
    </w:p>
    <w:p>
      <w:pPr>
        <w:spacing w:before="40" w:after="40"/>
        <w:ind w:left="283"/>
      </w:pPr>
      <w:r>
        <w:rPr>
          <w:rFonts w:ascii="Calibri" w:hAnsi="Calibri"/>
          <w:b/>
          <w:color w:val="4A6B25"/>
          <w:sz w:val="20"/>
        </w:rPr>
        <w:t xml:space="preserve">3. </w:t>
      </w:r>
      <w:r>
        <w:rPr>
          <w:rFonts w:ascii="Calibri" w:hAnsi="Calibri"/>
          <w:b w:val="0"/>
          <w:color w:val="3A4A28"/>
          <w:sz w:val="20"/>
        </w:rPr>
        <w:t>Consumer staples structural headwinds from GLP-1 weight-loss drug adoption reducing food consumption, changing dietary patterns, and inflation-driven trade-down to private label competitors eroding pricing power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McCormick's core business — physical spice and seasoning products sourced from agricultural supply chains — is structurally immune to AI substitution. Consumers cannot download flavors, and foodservice operators cannot replace physical ingredients with software [1]. The spice supply chain involves agricultural sourcing from farming communities across 40+ countries, proprietary processing and blending, and physical distribution infrastructure that AI structurally cannot displace. McCormick's 137-year supplier relationships, proprietary flavor formulations, and dominant retail shelf space create moats unreachable by AI. The one deduction reflects CEO Foley's recognition that AI-driven algorithmic shopping could theoretically bypass brand preference and compress pricing power over time [2]. AI Opportunity (1/1): McCormick is a genuine AI adopter — its IBM partnership deploys AI across 500+ product developers for flavor compound analysis and innovation, and the data transformation under CTO Guy Peri leverages intelligent automation and supply chain analytics for measurable operational improvements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McCormick Q2 FY2026 Earnings Release — $1.94B revenue (up 16.7%), adjusted operating income +30% to $336.4M, adjusted EPS $0.80 vs $0.70 est, FY2026 guidance reaffirmed, June 2026</w:t>
      </w:r>
    </w:p>
    <w:p>
      <w:pPr>
        <w:spacing w:before="20" w:after="20"/>
        <w:ind w:left="170"/>
      </w:pPr>
      <w:r>
        <w:rPr>
          <w:rFonts w:ascii="Calibri" w:hAnsi="Calibri"/>
          <w:b/>
          <w:color w:val="4A6B25"/>
          <w:sz w:val="15"/>
        </w:rPr>
        <w:t xml:space="preserve">2. </w:t>
      </w:r>
      <w:r>
        <w:rPr>
          <w:rFonts w:ascii="Calibri" w:hAnsi="Calibri"/>
          <w:b w:val="0"/>
          <w:color w:val="3A4A28"/>
          <w:sz w:val="17"/>
        </w:rPr>
        <w:t>National CIO Review — McCormick AI and analytics; Forbes — Guy Peri data transformation; Glassdoor — McCormick culture reviews, 2025-2026</w:t>
      </w:r>
    </w:p>
    <w:p>
      <w:pPr>
        <w:spacing w:before="20" w:after="20"/>
        <w:ind w:left="170"/>
      </w:pPr>
      <w:r>
        <w:rPr>
          <w:rFonts w:ascii="Calibri" w:hAnsi="Calibri"/>
          <w:b/>
          <w:color w:val="4A6B25"/>
          <w:sz w:val="15"/>
        </w:rPr>
        <w:t xml:space="preserve">3. </w:t>
      </w:r>
      <w:r>
        <w:rPr>
          <w:rFonts w:ascii="Calibri" w:hAnsi="Calibri"/>
          <w:b w:val="0"/>
          <w:color w:val="3A4A28"/>
          <w:sz w:val="17"/>
        </w:rPr>
        <w:t>McCormick Corporate ESG and Sustainability — 'Stand Together for the Future of Flavor' purpose, Sustainalytics moderate controversy level, net zero by 2050 targets</w:t>
      </w:r>
    </w:p>
    <w:p>
      <w:pPr>
        <w:spacing w:before="20" w:after="20"/>
        <w:ind w:left="170"/>
      </w:pPr>
      <w:r>
        <w:rPr>
          <w:rFonts w:ascii="Calibri" w:hAnsi="Calibri"/>
          <w:b/>
          <w:color w:val="4A6B25"/>
          <w:sz w:val="15"/>
        </w:rPr>
        <w:t xml:space="preserve">4. </w:t>
      </w:r>
      <w:r>
        <w:rPr>
          <w:rFonts w:ascii="Calibri" w:hAnsi="Calibri"/>
          <w:b w:val="0"/>
          <w:color w:val="3A4A28"/>
          <w:sz w:val="17"/>
        </w:rPr>
        <w:t>McCormick Key Statistics — StockAnalysis.com, GuruFocus,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