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MNKD</w:t>
      </w:r>
      <w:r>
        <w:rPr>
          <w:rFonts w:ascii="Calibri" w:hAnsi="Calibri"/>
          <w:b/>
          <w:color w:val="1A2010"/>
          <w:sz w:val="40"/>
        </w:rPr>
        <w:t xml:space="preserve">  MannKind Corporation</w:t>
      </w:r>
    </w:p>
    <w:p>
      <w:pPr>
        <w:spacing w:after="120"/>
      </w:pPr>
      <w:r>
        <w:rPr>
          <w:rFonts w:ascii="Calibri" w:hAnsi="Calibri"/>
          <w:b/>
          <w:color w:val="6E8450"/>
          <w:sz w:val="18"/>
        </w:rPr>
        <w:t>GROWTH SLEEVE · 2026-10-20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NGM · United States</w:t>
      </w:r>
    </w:p>
    <w:p>
      <w:pPr>
        <w:spacing w:after="80"/>
      </w:pPr>
      <w:r>
        <w:rPr>
          <w:rFonts w:ascii="Calibri" w:hAnsi="Calibri"/>
          <w:b w:val="0"/>
          <w:color w:val="3A4A28"/>
          <w:sz w:val="20"/>
        </w:rPr>
        <w:t>MannKind Corporation is a biopharmaceutical company focused on transforming chronic disease care through inhaled and injectable therapies. Commercial products include Afrezza (inhaled insulin for diabetes), Furoscix (subcutaneous furosemide for heart failure/CKD edema, acquired via scPharma October 2025), V-Go (mechanical insulin delivery), and Tyvaso DPI (inhaled powder for pulmonary hypertension, manufactured for United Therapeutics). Q2 2026 revenue reached $109.4M (+43% YoY) driven primarily by Furoscix contribution, with H1 2026 revenue of $199.5M (+29%). The company operates at a GAAP net loss with a pipeline including MNKD-201 (inhaled nintedanib), MNKD-701 (bumetanide), and ROSE-010 Technosphere for weight management.</w:t>
      </w:r>
    </w:p>
    <w:p>
      <w:r>
        <w:rPr>
          <w:rFonts w:ascii="Calibri" w:hAnsi="Calibri"/>
          <w:b/>
          <w:color w:val="6E8450"/>
          <w:sz w:val="18"/>
        </w:rPr>
        <w:t>591 Employees · https://mannkindcorp.com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MannKind's Technosphere platform represents a genuinely novel drug delivery technology that created the world's only inhaled insulin (Afrezza), and the company successfully expanded beyond single-product dependence through the Tyvaso DPI manufacturing partnership with United Therapeutics and the October 2025 acquisition of scPharma's Furoscix for heart failure [1]. The Furoscix acquisition opened a second major revenue stream, contributing $22.2M in Q2 2026 (+43% sequentially) with $110-120M 2026 revenue guidance. AI Deployment (0/2): No evidence of AI-powered products or quantified AI-driven cost savings; the company's innovation focus is on drug formulation and delivery rather than AI technology. Market Share (1/2): Afrezza is the only FDA-approved inhaled insulin on the market, commanding a monopoly position in the inhaled insulin niche, though overall market share versus injectable insulin (dominated by Novo Nordisk and Eli Lilly) remains small; Tyvaso DPI holds a unique position as the only dry-powder inhaled PAH treatment [1][2]. Product Pipeline (2/2): MannKind has a specific, named pipeline with identified timelines: MNKD-201 (inhaled nintedanib for idiopathic pulmonary fibrosis via collaboration with Thirona Bio), MNKD-701 (inhaled bumetanide for fluid overload), and ROSE-010 Technosphere for weight management (licensing agreement with Rose Pharma), all leveraging the validated Technosphere drug delivery platform [1]. R&amp;D Intensity (1/1): As a development-stage biotech, R&amp;D investment relative to revenue is above industry average, with the company investing heavily in the Technosphere platform and pipeline compounds while still approaching profitability.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MannKind's mission centers on 'transforming chronic disease care' through innovative drug delivery, which is clear and specific to the company's work but does not articulate a deeply distinctive vision beyond what any specialty pharmaceutical company might claim [2]. The 'HuMann Values' framework on the company website reflects genuine intentionality connected to founder Alfred Mann's legacy, but the articulation remains functional rather than aspirational. Community Impact (0/2): The 2021 sustainability report mentions LEED Silver certified facilities and environmental initiatives, but no specific charitable programs, community investments, or dollar amounts were identified to distinguish MannKind from industry norms [4]. Employee Retention (0/2): The company grew from 349 to 591 employees between 2021 and 2026, suggesting organizational health, but no specific voluntary turnover rates, average tenure data, or cultural practices are publicly available. Insider Buying (0/2): No evidence of meaningful net insider buying by CEO Michael Castagna or other executives in the last 12 months; insider transaction data was not found in the 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D/E and ROE excluded (yfinance returns null — complex capital structure with accumulated deficit). Revenue growth of 42.9% YoY far exceeds the 10% target (score 1.0), driven by the Furoscix acquisition and Tyvaso DPI royalty growth, with Q2 2026 revenue of $109.4M representing 43% YoY growth [1]. Estimated 5yr revenue CAGR of ~35% (from ~$88M in 2021 to ~$394M TTM) also scores maximum (score 1.0, 2x weight), reflecting the Tyvaso DPI and Furoscix additions. Forward P/E of 22.9 is modestly above the 20 target (score 0.93), as analysts project a transition to profitability with forward EPS of $0.14 versus trailing EPS of -$0.14. Profit margin of -11.1% is below the 0% floor (score 0.0), reflecting continued GAAP losses despite the revenue ramp; Q2 2026 net loss was $19M with gross margin compressing to 66% from 79% due to lower-margin Furoscix contribution [1]. PEG of 4.39 far exceeds the 3.0 floor (score 0.0, 2x weight), indicating premium valuation relative to growth. Daily dollar volume of $14.0M provides adequate liquidity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MannKind demonstrates mixed infinite-game characteristics rooted in founder Alfred Mann's genuine vision for transforming chronic disease treatment through innovative drug delivery. The company persevered through 15+ years of losses to bring Afrezza to market and has since expanded into a multi-product platform, reflecting long-term commitment to the cause. However, CEO Michael Castagna's leadership since 2017 prioritizes commercial execution and profitability targets over the original cause-driven vision, and the company's competitive language centers on market share capture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Alfred Mann's founding vision of transforming chronic disease care through novel inhaled drug delivery represents a genuine cause that has guided the company through decades of development and commercial challenges [2]. The Technosphere platform — a unique drug delivery technology enabling inhaled administration of drugs traditionally given by injection — connects the company's work to improving patients' quality of life. However, the cause has not been fully tested under the current leadership, and the commercial focus on revenue diversification (Furoscix acquisition, V-Go) is practical necessity rather than cause-driven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Michael Castagna has provided stable leadership since 2017 (9-year tenure), and the company grew headcount from 349 to 591 employees between 2021 and 2026 while maintaining organizational stability through the scPharma acquisition integration [2]. The 'HuMann Values' framework on the company website signals intentionality around culture. However, no specific voluntary turnover data, Glassdoor ratings, or evidence of exceptional employee empowerment practices were found to distinguish MannKind from biotech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MannKind's management publicly acknowledging competitors' strengths or using competitive dynamics for self-improvement; the company's positioning emphasizes the uniqueness of its Technosphere platform and the lack of direct competition in inhaled insulin, reflecting a competitive framing focused on differentiation rather than learning from rivals like Novo Nordisk or Eli Lilly.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MannKind evolved from a single-product Afrezza company to a multi-product platform spanning inhaled insulin, injectable diuretics (Furoscix), mechanical insulin delivery (V-Go), and contract manufacturing (Tyvaso DPI), demonstrating meaningful business model adaptation [1]. The October 2025 Furoscix acquisition and Rose Pharma weight management licensing show continued willingness to expand beyond the original inhaled insulin focus. However, the core Technosphere platform remains the unifying technology, making this evolutionary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MannKind persevered through 15+ years of development losses and repeated commercial setbacks to bring Afrezza to market, investing over $4B cumulatively before achieving meaningful revenue — an extraordinary demonstration of conviction in the Technosphere platform [1][2]. The scPharma acquisition during a period of ongoing losses showed willingness to invest for growth. However, under current leadership, the focus has shifted to commercial optimization and profitability rather than transformative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MannKind at $3.09 is a specialty biopharmaceutical company inflecting toward profitability with $393.6M in TTM revenue growing 43% YoY, driven by the Furoscix acquisition ($110-120M 2026 guidance) and Tyvaso DPI royalties (~$32M/quarter) alongside the stable Afrezza franchise [1]. The company's Technosphere drug delivery platform provides a unique technology moat enabling inhaled formulations of traditionally injectable drugs, with a pipeline spanning IPF (MNKD-201), fluid overload (MNKD-701), and weight management (ROSE-010) that could each represent significant market opportunities. Forward P/E of 22.9x on $0.14 forward EPS suggests the market expects a profitability inflection, and the $1B market cap provides substantial upside if the platform delivers additional approved products.</w:t>
      </w:r>
    </w:p>
    <w:p>
      <w:pPr>
        <w:spacing w:after="120"/>
      </w:pPr>
      <w:r>
        <w:rPr>
          <w:rFonts w:ascii="Calibri" w:hAnsi="Calibri"/>
          <w:b w:val="0"/>
          <w:color w:val="3A4A28"/>
          <w:sz w:val="20"/>
        </w:rPr>
        <w:t>The bear case centers on persistent unprofitability and execution risk. Despite $394M in TTM revenue, MannKind posted a $19M Q2 2026 GAAP net loss with profit margin of -11.1%, and gross margins compressed from 79% to 66% as the lower-margin Furoscix product became a larger revenue contributor [1][3]. The PEG of 4.39 indicates the stock is overvalued relative to growth, and $434M in total debt against $111M cash creates balance sheet pressure. Afrezza revenue declined 7% YoY in Q2 and V-Go dropped 33%, indicating the core legacy products are deteriorating while the company depends increasingly on acquired products and manufacturing partnerships. The pipeline carries typical biotech binary risk — MNKD-201, MNKD-701, and ROSE-010 are all early-stage with no guarantee of FDA approval. The weight management application (Rose Pharma licensing) enters an intensely competitive market dominated by GLP-1 agonists from Novo Nordisk and Eli Lilly.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Furoscix commercial ramp to $110-120M 2026 revenue guidance represents a major growth driver acquired for an undisclosed amount, with potential for significant market expansion in the $3B+ heart failure edema treatment market as subcutaneous administration gains physician adoption [1]</w:t>
      </w:r>
    </w:p>
    <w:p>
      <w:pPr>
        <w:spacing w:before="40" w:after="40"/>
        <w:ind w:left="283"/>
      </w:pPr>
      <w:r>
        <w:rPr>
          <w:rFonts w:ascii="Calibri" w:hAnsi="Calibri"/>
          <w:b/>
          <w:color w:val="4A6B25"/>
          <w:sz w:val="20"/>
        </w:rPr>
        <w:t xml:space="preserve">2. </w:t>
      </w:r>
      <w:r>
        <w:rPr>
          <w:rFonts w:ascii="Calibri" w:hAnsi="Calibri"/>
          <w:b w:val="0"/>
          <w:color w:val="3A4A28"/>
          <w:sz w:val="20"/>
        </w:rPr>
        <w:t>Pipeline advancement of MNKD-201 (inhaled nintedanib for IPF) and ROSE-010 Technosphere for weight management could each represent blockbuster opportunities if clinical trials succeed, leveraging the validated Technosphere drug delivery platform [1]</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from trailing -$0.14 EPS to forward +$0.14 EPS as Furoscix scales with expected back-half revenue weighting and Tyvaso DPI royalties provide high-margin recurring income with a $50M+ annual floor through 2031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at -11.1% profit margin with $434M total debt against $111M cash create balance sheet pressure, and gross margin compression from 79% to 66% as lower-margin Furoscix grows suggests the profitability path may be longer than forward estimates imply [1][3]</w:t>
      </w:r>
    </w:p>
    <w:p>
      <w:pPr>
        <w:spacing w:before="40" w:after="40"/>
        <w:ind w:left="283"/>
      </w:pPr>
      <w:r>
        <w:rPr>
          <w:rFonts w:ascii="Calibri" w:hAnsi="Calibri"/>
          <w:b/>
          <w:color w:val="4A6B25"/>
          <w:sz w:val="20"/>
        </w:rPr>
        <w:t xml:space="preserve">2. </w:t>
      </w:r>
      <w:r>
        <w:rPr>
          <w:rFonts w:ascii="Calibri" w:hAnsi="Calibri"/>
          <w:b w:val="0"/>
          <w:color w:val="3A4A28"/>
          <w:sz w:val="20"/>
        </w:rPr>
        <w:t>Core legacy products deteriorating — Afrezza revenue declined 7% YoY and V-Go dropped 33% in Q2 2026, leaving the company increasingly dependent on the acquired Furoscix franchise and United Therapeutics manufacturing partnership for growth [1]</w:t>
      </w:r>
    </w:p>
    <w:p>
      <w:pPr>
        <w:spacing w:before="40" w:after="40"/>
        <w:ind w:left="283"/>
      </w:pPr>
      <w:r>
        <w:rPr>
          <w:rFonts w:ascii="Calibri" w:hAnsi="Calibri"/>
          <w:b/>
          <w:color w:val="4A6B25"/>
          <w:sz w:val="20"/>
        </w:rPr>
        <w:t xml:space="preserve">3. </w:t>
      </w:r>
      <w:r>
        <w:rPr>
          <w:rFonts w:ascii="Calibri" w:hAnsi="Calibri"/>
          <w:b w:val="0"/>
          <w:color w:val="3A4A28"/>
          <w:sz w:val="20"/>
        </w:rPr>
        <w:t>Weight management pipeline (ROSE-010) enters a market dominated by GLP-1 agonists generating $50B+ annually for Novo Nordisk and Eli Lilly, where an inhaled formulation faces an uncertain competitive position against established injectable therapies with proven efficacy data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MannKind's core business — manufacturing and selling FDA-regulated pharmaceutical products including inhaled insulin, injectable diuretics, and dry-powder pulmonary hypertension treatments — is structurally immune to AI disruption [1][2]. Physical drug manufacturing requires GMP-compliant facilities, FDA approval processes spanning years of clinical trials, and proprietary formulation technology (Technosphere platform) that AI cannot replicate or substitute. The company's products treat chronic diseases requiring physical therapeutic intervention that no software can replace — diabetic patients need insulin, heart failure patients need diuretics, and PAH patients need pulmonary vasodilators regardless of AI advances. Patent protection on the Technosphere delivery platform and regulatory exclusivity periods provide additional moats. AI Opportunity (0/1): No evidence of AI-generated revenue; the company's R&amp;D focuses on drug formulation and clinical development rather than AI-enabled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MannKind Q2 2026 Earnings Report — Revenue $109.4M (+43% YoY), Furoscix $22.2M (+43% QoQ), Net Loss $19M, Gross Margin 66% — BioSpace, Quartr, Zacks, SEC 8-K, July 2026</w:t>
      </w:r>
    </w:p>
    <w:p>
      <w:pPr>
        <w:spacing w:before="20" w:after="20"/>
        <w:ind w:left="170"/>
      </w:pPr>
      <w:r>
        <w:rPr>
          <w:rFonts w:ascii="Calibri" w:hAnsi="Calibri"/>
          <w:b/>
          <w:color w:val="4A6B25"/>
          <w:sz w:val="15"/>
        </w:rPr>
        <w:t xml:space="preserve">2. </w:t>
      </w:r>
      <w:r>
        <w:rPr>
          <w:rFonts w:ascii="Calibri" w:hAnsi="Calibri"/>
          <w:b w:val="0"/>
          <w:color w:val="3A4A28"/>
          <w:sz w:val="17"/>
        </w:rPr>
        <w:t>MannKind Leadership and Corporate Profile — CEO Michael Castagna (since 2017), HuMann Values, Alfred Mann Legacy, 591 Employees — MannKindCorp.com, BioSpace, HR Today, 2023-2026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MNKD Key Statistics, Forward P/E 22.9, PEG 4.39, Revenue Growth 42.9%, Profit Margin -11.1%,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MannKind ESG Profile — Sustainalytics Medium Risk (26), LEED Silver Facilities, 2021 Sustainability Report — Sustainalytics, KnowESG, MannKind Sustainability Report,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