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MOH</w:t>
      </w:r>
      <w:r>
        <w:rPr>
          <w:rFonts w:ascii="Calibri" w:hAnsi="Calibri"/>
          <w:b/>
          <w:color w:val="1A2010"/>
          <w:sz w:val="40"/>
        </w:rPr>
        <w:t xml:space="preserve">  Molina Healthcare, Inc.</w:t>
      </w:r>
    </w:p>
    <w:p>
      <w:pPr>
        <w:spacing w:after="120"/>
      </w:pPr>
      <w:r>
        <w:rPr>
          <w:rFonts w:ascii="Calibri" w:hAnsi="Calibri"/>
          <w:b/>
          <w:color w:val="6E8450"/>
          <w:sz w:val="18"/>
        </w:rPr>
        <w:t>GROWTH SLEEVE · 2026-09-15 · Inspire: 48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Healthcare Plans · NYSE · United States</w:t>
      </w:r>
    </w:p>
    <w:p>
      <w:pPr>
        <w:spacing w:after="80"/>
      </w:pPr>
      <w:r>
        <w:rPr>
          <w:rFonts w:ascii="Calibri" w:hAnsi="Calibri"/>
          <w:b w:val="0"/>
          <w:color w:val="3A4A28"/>
          <w:sz w:val="20"/>
        </w:rPr>
        <w:t>Molina Healthcare, Inc. is a Fortune 500 managed care organization providing government-sponsored healthcare programs to low-income individuals and families through Medicaid, Medicare, and ACA Marketplace plans across 20+ US states. Founded by Dr. C. David Molina in 1980, the company serves approximately 5.0 million members under CEO Joseph Zubretsky (since 2017). Q2 2026 premium revenue was $10.2B with full-year guidance raised to at least $5.25 adjusted EPS [1]. The company navigates Medicaid rate-trend imbalances that management characterizes as stabilizing, with 2026 viewed as the trough year for Medicaid pretax margins.</w:t>
      </w:r>
    </w:p>
    <w:p>
      <w:r>
        <w:rPr>
          <w:rFonts w:ascii="Calibri" w:hAnsi="Calibri"/>
          <w:b/>
          <w:color w:val="6E8450"/>
          <w:sz w:val="18"/>
        </w:rPr>
        <w:t>19,000 Employees · https://www.molinahealthcare.com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Under CEO Zubretsky, Molina expanded from a regional Medicaid plan to a multi-state, multi-product national managed care company through disciplined acquisitions and contract wins, growing from ~3 million to 5.0 million members [1]. This represents meaningful business expansion but within the same business model — government-sponsored managed care — not product innovation or business model transformation. AI Deployment (0/2): No evidence of AI-powered products, AI-driven cost savings, or AI deployment strategy was identified. Managed care companies have not been early adopters of customer-facing AI, though operational AI for claims processing and utilization management is likely in use industry-wide. Market Share (1/2): Molina is a significant Medicaid managed care player serving 5.0 million members across 20+ states [1]. However, UnitedHealth, Centene, and Elevance are all substantially larger in government-sponsored plans. Product Pipeline (1/2): Molina's pipeline consists of new state Medicaid contracts, ACA exchange expansion, and multi-year growth targets — contract wins within the existing model rather than product innovation [1]. R&amp;D Intensity (0/1): Healthcare plans do not have traditional R&amp;D functions; Molina does not invest in drug discovery, medical devices, or technology products.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Molina was founded by Dr. C. David Molina in 1980 specifically to serve uninsured communities in Long Beach, CA — a genuine origin story connecting healthcare to underserved populations [3]. However, under Zubretsky's leadership, strategic language has shifted toward 'operational discipline,' 'margin management,' and 'MCR ratios,' framing that is more financially driven than inspirational. The mission is clear and identifies who Molina serves but does not articulate a transformative vision. Community Impact (1/2): MolinaCares Accord and The Molina Healthcare Charitable Foundation fund community-based health care initiatives, and ESG goals are tied to CEO compensation since 2020 [3]. Serving 5.0 million low-income Medicaid/Medicare members is inherently community-serving. However, specific charitable giving with dollar amounts is not prominently disclosed. Employee Retention (0/2): Glassdoor reviews are overwhelmingly negative at 3.3/5, with review titles including 'horrible culture,' 'worst company to work for,' and 'improving bottom line by squeezing employees, members, and providers' [2]. Employee turnover reported at 18% and leadership turnover at 24% — far above industry norms. Insider Buying (0/2): No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Molina's infrastructure shows significant bifurcation between forward-looking and trailing metrics [4]. The forward P/E of 21.98x (below the 20x target area) and PEG of 0.95 (below 1.0 target, scoring 1.0 with 2x weight) reflect attractive forward valuation after guidance was raised to at least $5.25 adjusted EPS [1]. The 5-year revenue CAGR of ~11% and moderate D/E of 94.8% contribute positively. However, trailing profitability has collapsed: profit margin of -0.02% and ROE of -0.16% both score zero, reflecting the 2026 margin trough from Medicaid rate-trend imbalances and one-time charges [1]. Revenue declined 5.7% in the most recent quarter. The company holds $8.9B cash against $4.0B debt, providing balance sheet resilience. Liquidity is adequate at ~$220M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Molina Healthcare operates with a predominantly finite mindset. While the company's 1980 founding purpose of serving underserved communities is genuine, the current strategic language under CEO Zubretsky is dominated by operational metrics — MCR ratios, EPS guidance, margin management — rather than purpose-driven vision. Extremely negative employee culture data (3.3/5 Glassdoor, 18% turnover, 24% leadership turnover) indicates a low-trust, cost-focused environment. Sinek would note that the founding Just Cause of Dr. Molina has been subordinated to financial engineering under professional management.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Molina was founded by Dr. C. David Molina in 1980 with a genuine Just Cause — providing healthcare to people who couldn't otherwise access it [3]. This founding purpose was authentic, idealistic, and service-oriented. However, under CEO Zubretsky's tenure, the company's identity has shifted from mission-driven healthcare to margin-focused operational excellence. The Q2 2026 earnings call centered on MCR ratios, retroactive rate adjustments, and raised EPS guidance rather than patient outcomes or community health impact [1]. When leadership discussion is dominated by financial metrics rather than purpose, Sinek would argue the Just Cause has been diluted.</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data reveals a low-trust environment at Molina. The 3.3/5 overall rating is below the healthcare industry average, with review titles including 'horrible culture,' 'worst company to work for,' and 'improving bottom line by squeezing employees, members, and providers' [2]. Employee turnover of 18% and leadership turnover of 24% are far above industry norms, indicating organizational instability. Multiple reviews cite that 'leadership was very clicky, often promoting friends instead of people that could do the job.' This is precisely the environment Sinek warns about — people spending energy protecting themselves rather than advancing the cause.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Molina's competitive positioning focuses on being the 'low cost, most effective and reliable health plan' — finite language about outperforming competitors on operational metrics [3]. The strategy centers on acquisitive growth and MCR management, not on studying UnitedHealth's technology investments or Centene's scale advantages as learning opportunities. The goal is to win government contracts, not to learn from rivals and improve.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Molina has evolved from a single-state Medicaid clinic to a multi-state, multi-product managed care company across Medicaid, Medicare, and ACA Marketplace, serving 5.0 million members [1]. The transformation from a family-led clinical organization to a professionally managed, margin-focused national operator was meaningful business model evolution. However, these changes are incremental extensions of the same fundamental business — government-sponsored managed care — not transformative reinventions driven by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Zubretsky's transformation of Molina from a troubled, money-losing company in 2017 into a disciplined national operator required making difficult decisions — restructuring operations, professionalizing management, and pursuing aggressive acquisitions [1]. Raising 2026 guidance to at least $5.25 after the initial devastating guidance cut to $5 demonstrates operational recovery discipline. However, the initial guidance failure exposed that growth had outpaced the ability to manage medical costs, and the current recovery is incremental improvement rather than courageous long-term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Molina Healthcare offers a margin recovery play in defensive government-sponsored managed care, trading at 21.98x forward earnings with a PEG of 0.95 after management raised 2026 adjusted EPS guidance to at least $5.25 [1][4]. The Medicaid rate-trend imbalance appears to be stabilizing, with management characterizing 2026 as the trough year for Medicaid pretax margins, implying margin recovery in 2027-2028 [1]. Forward EPS of $9.74 implies substantial earnings normalization beyond the $5.25 guidance year. The business serves 5.0 million members across 20+ states with $42B+ in annual premium revenue, anchored by high-barrier government contracts requiring state-by-state regulatory licensing. The balance sheet holds $8.9B cash against $4.0B debt, and free cash flow of $700M provides resilience. The Inspire Impact Score of 48 (ALIGNED) with 12 positive and zero negative attributions makes MOH attractive for faith-aligned healthcare exposure.</w:t>
      </w:r>
    </w:p>
    <w:p>
      <w:pPr>
        <w:spacing w:after="120"/>
      </w:pPr>
      <w:r>
        <w:rPr>
          <w:rFonts w:ascii="Calibri" w:hAnsi="Calibri"/>
          <w:b w:val="0"/>
          <w:color w:val="3A4A28"/>
          <w:sz w:val="20"/>
        </w:rPr>
        <w:t>The bear case centers on the severity of the profitability collapse and cultural concerns. Trailing profit margin of -0.02% and ROE of -0.16% reflect a business generating $42.5B in revenue with essentially zero profit — an alarming state for a healthcare plan that should be earning 2-3% margins [4]. The -5.7% revenue decline in the most recent quarter suggests membership attrition from Medicaid redeterminations is ongoing. Employee culture is deeply problematic: Glassdoor 3.3/5 with 18% employee turnover and 24% leadership turnover point to an organization 'squeezing employees, members, and providers' to improve margins [2]. DOJ False Claims Act investigations over risk adjustment coding practices and state Medicaid enforcement actions create legal overhang [3]. The company's $42B revenue base is entirely government-dependent, making it vulnerable to political shifts in healthcare policy, Medicaid rate adjustments, and regulatory changes beyond management's control.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Medicaid rate-trend stabilization: management characterizes 2026 as the trough year for Medicaid pretax margins, with rate adequacy improvements expected as states adjust payments to reflect the post-PHE member population [1]</w:t>
      </w:r>
    </w:p>
    <w:p>
      <w:pPr>
        <w:spacing w:before="40" w:after="40"/>
        <w:ind w:left="283"/>
      </w:pPr>
      <w:r>
        <w:rPr>
          <w:rFonts w:ascii="Calibri" w:hAnsi="Calibri"/>
          <w:b/>
          <w:color w:val="4A6B25"/>
          <w:sz w:val="20"/>
        </w:rPr>
        <w:t xml:space="preserve">2. </w:t>
      </w:r>
      <w:r>
        <w:rPr>
          <w:rFonts w:ascii="Calibri" w:hAnsi="Calibri"/>
          <w:b w:val="0"/>
          <w:color w:val="3A4A28"/>
          <w:sz w:val="20"/>
        </w:rPr>
        <w:t>Earnings normalization from $5.25 adjusted EPS (2026 guidance) toward forward consensus of $9.74, driven by one-time charge roll-off and Medicaid margin recovery — implying nearly 2x earnings growth [4]</w:t>
      </w:r>
    </w:p>
    <w:p>
      <w:pPr>
        <w:spacing w:before="40" w:after="40"/>
        <w:ind w:left="283"/>
      </w:pPr>
      <w:r>
        <w:rPr>
          <w:rFonts w:ascii="Calibri" w:hAnsi="Calibri"/>
          <w:b/>
          <w:color w:val="4A6B25"/>
          <w:sz w:val="20"/>
        </w:rPr>
        <w:t xml:space="preserve">3. </w:t>
      </w:r>
      <w:r>
        <w:rPr>
          <w:rFonts w:ascii="Calibri" w:hAnsi="Calibri"/>
          <w:b w:val="0"/>
          <w:color w:val="3A4A28"/>
          <w:sz w:val="20"/>
        </w:rPr>
        <w:t>Forward PEG of 0.95 at $214.07 represents attractive growth-adjusted valuation for a defensive business with $8.9B cash, $700M FCF, and high-barrier government contract portfolio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Trailing profitability collapse — near-zero profit margin and ROE on $42.5B revenue exposes structural margin vulnerability to Medicaid cost trends, and the -5.7% revenue decline suggests membership attrition is ongoing [4]</w:t>
      </w:r>
    </w:p>
    <w:p>
      <w:pPr>
        <w:spacing w:before="40" w:after="40"/>
        <w:ind w:left="283"/>
      </w:pPr>
      <w:r>
        <w:rPr>
          <w:rFonts w:ascii="Calibri" w:hAnsi="Calibri"/>
          <w:b/>
          <w:color w:val="4A6B25"/>
          <w:sz w:val="20"/>
        </w:rPr>
        <w:t xml:space="preserve">2. </w:t>
      </w:r>
      <w:r>
        <w:rPr>
          <w:rFonts w:ascii="Calibri" w:hAnsi="Calibri"/>
          <w:b w:val="0"/>
          <w:color w:val="3A4A28"/>
          <w:sz w:val="20"/>
        </w:rPr>
        <w:t>Severely negative employee culture (Glassdoor 3.3/5, 18% employee turnover, 24% leadership turnover, reviews citing 'horrible culture') creates operational risk and raises questions about long-term organizational health [2]</w:t>
      </w:r>
    </w:p>
    <w:p>
      <w:pPr>
        <w:spacing w:before="40" w:after="40"/>
        <w:ind w:left="283"/>
      </w:pPr>
      <w:r>
        <w:rPr>
          <w:rFonts w:ascii="Calibri" w:hAnsi="Calibri"/>
          <w:b/>
          <w:color w:val="4A6B25"/>
          <w:sz w:val="20"/>
        </w:rPr>
        <w:t xml:space="preserve">3. </w:t>
      </w:r>
      <w:r>
        <w:rPr>
          <w:rFonts w:ascii="Calibri" w:hAnsi="Calibri"/>
          <w:b w:val="0"/>
          <w:color w:val="3A4A28"/>
          <w:sz w:val="20"/>
        </w:rPr>
        <w:t>DOJ False Claims Act investigations over risk adjustment coding practices and entirely government-dependent revenue create legal and regulatory risk beyond management's control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Molina's core business — government-sponsored managed care — is deeply protected from AI disruption by structural regulatory moats [1]. State Medicaid contracts require regulatory licensing, compliance infrastructure, government relationships, and multi-year procurement processes that AI cannot replicate. Provider network management requires physical healthcare relationships and contractual arrangements across 20+ states. Claims adjudication and utilization management, while potentially enhanced by AI tools, require regulatory compliance and human clinical oversight. The government payer relationships and state-by-state licensing create entry barriers that are regulatory, not technological. However, AI could enable larger competitors (UnitedHealth, Centene) to achieve scale advantages in administrative efficiency that pressure Molina's cost structure. AI Opportunity (0/1): No specific AI products or AI-driven revenue streams were identified. While Molina likely uses technology for claims processing and care management, no quantifiable AI revenue contribution has been reported.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Molina Healthcare Q1 and Q2 2026 Earnings Releases — Premium Revenue ~$10.2B/Quarter, Raised FY2026 Guidance to ≥$5.25 Adjusted EPS, Medicaid Rate Stabilization — Molina IR, SEC 8-K, Simply Wall St, July 2026</w:t>
      </w:r>
    </w:p>
    <w:p>
      <w:pPr>
        <w:spacing w:before="20" w:after="20"/>
        <w:ind w:left="170"/>
      </w:pPr>
      <w:r>
        <w:rPr>
          <w:rFonts w:ascii="Calibri" w:hAnsi="Calibri"/>
          <w:b/>
          <w:color w:val="4A6B25"/>
          <w:sz w:val="15"/>
        </w:rPr>
        <w:t xml:space="preserve">2. </w:t>
      </w:r>
      <w:r>
        <w:rPr>
          <w:rFonts w:ascii="Calibri" w:hAnsi="Calibri"/>
          <w:b w:val="0"/>
          <w:color w:val="3A4A28"/>
          <w:sz w:val="17"/>
        </w:rPr>
        <w:t>Molina Healthcare Employee Culture — Glassdoor 3.3/5, 18% Employee Turnover, 24% Leadership Turnover, 'Horrible Culture' Reviews — Glassdoor, 2026</w:t>
      </w:r>
    </w:p>
    <w:p>
      <w:pPr>
        <w:spacing w:before="20" w:after="20"/>
        <w:ind w:left="170"/>
      </w:pPr>
      <w:r>
        <w:rPr>
          <w:rFonts w:ascii="Calibri" w:hAnsi="Calibri"/>
          <w:b/>
          <w:color w:val="4A6B25"/>
          <w:sz w:val="15"/>
        </w:rPr>
        <w:t xml:space="preserve">3. </w:t>
      </w:r>
      <w:r>
        <w:rPr>
          <w:rFonts w:ascii="Calibri" w:hAnsi="Calibri"/>
          <w:b w:val="0"/>
          <w:color w:val="3A4A28"/>
          <w:sz w:val="17"/>
        </w:rPr>
        <w:t>Molina Healthcare ESG, Community Impact and Legal — MolinaCares Accord, Foundation, DOJ False Claims Act Investigations, Sustainalytics Average ESG Rating — MolinaHealthcare.com, CSRHub, Sustainalytics,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MOH Key Statistics: Forward P/E 21.98x, PEG 0.95, ROE -0.16%, Profit Margin -0.02%, D/E 94.77%, Stock Price $214.07,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