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MRNA</w:t>
      </w:r>
      <w:r>
        <w:rPr>
          <w:rFonts w:ascii="Calibri" w:hAnsi="Calibri"/>
          <w:b/>
          <w:color w:val="1A2010"/>
          <w:sz w:val="40"/>
        </w:rPr>
        <w:t xml:space="preserve">  Moderna, Inc.</w:t>
      </w:r>
    </w:p>
    <w:p>
      <w:pPr>
        <w:spacing w:after="120"/>
      </w:pPr>
      <w:r>
        <w:rPr>
          <w:rFonts w:ascii="Calibri" w:hAnsi="Calibri"/>
          <w:b/>
          <w:color w:val="6E8450"/>
          <w:sz w:val="18"/>
        </w:rPr>
        <w:t>GROWTH SLEEVE · 2026-10-10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Moderna is a biotechnology company pioneering messenger RNA (mRNA) therapeutics and vaccines. The company has marketed products including Spikevax (COVID-19), mRESVIA (RSV), and mCOMBRIAX (world's first flu+COVID combination vaccine, EU-authorized). The seasonal flu vaccine (mRNA-1010) received unanimous FDA VRBPAC recommendation. Moderna is advancing personalized cancer vaccines (intismeran autogene with Merck, 49% reduction in recurrence/death at 5 years in melanoma). TTM revenue of approximately $2.2B with net losses of ~$3.2B annually. Stock surged from ~$63 to $225 in recent months on pipeline catalysts.</w:t>
      </w:r>
    </w:p>
    <w:p>
      <w:r>
        <w:rPr>
          <w:rFonts w:ascii="Calibri" w:hAnsi="Calibri"/>
          <w:b/>
          <w:color w:val="6E8450"/>
          <w:sz w:val="18"/>
        </w:rPr>
        <w:t>4,700 Employees · https://www.modernatx.com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Moderna launched multiple approved products from a single platform technology — Spikevax (COVID-19), mRESVIA (RSV), and mCOMBRIAX (world's first flu+COVID combination vaccine, EU-authorized) [1]. The mRNA platform represents genuinely transformative technology, enabling rapid sequence design (COVID vaccine designed in 2 days). Five-year melanoma data from intismeran autogene showed 49% reduction in recurrence/death, validating the personalized cancer vaccine approach [2]. The seasonal flu vaccine received unanimous FDA VRBPAC positive recommendation in July 2026 [1]. AI Deployment (2/2): Moderna has a strategic alliance with OpenAI, with 80% of employees using mChat (customized GPT chatbot) in daily workflows [3]. The mRNA Design Studio uses ML to predict optimal sequences, AI-powered automation scaled manufacturing from 30 to 1,000+ sequences per month, and two new cancer antigen therapy programs (mRNA-4194, mRNA-4200) were accelerated by AI-driven design [3]. Market Share (1/2): One of only two companies with approved mRNA vaccines globally, sharing leadership with BioNTech/Pfizer. mCOMBRIAX is the first-ever combination COVID+flu vaccine, creating a new product category, but COVID vaccine revenue has collapsed [1]. Product Pipeline (1/2): 45+ development candidates spanning infectious disease, oncology, and rare disease. Flu vaccine approaching PDUFA, intismeran in Phase 3 with Merck, norovirus Phase 3 enrolling additional cohort, rare disease registrational study fully enrolled [1][2]. R&amp;D Intensity (1/1): R&amp;D of ~$4.5B exceeds total revenue, representing extreme top-quartile investment intensity for the biotech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Moderna's mission to 'deliver the greatest possible impact to people through mRNA medicines' is specific and thoughtful — connecting a novel technology platform to a vision of transforming medicine across infectious disease, cancer, and rare diseases [4]. CEO Stephane Bancel founded the company in 2010 and invested for a decade before generating revenue, demonstrating genuine intentionality. The mission was validated by the COVID vaccine saving millions of lives globally. Falls short of a 4 because multi-decade consistency through leadership transitions has not been demonstrated. Community Impact (1/2): Moderna's COVID vaccine delivered to billions worldwide and partnerships with the Gates Foundation on pandemic preparedness vaccines (Nipah, Zika, Mpox) demonstrate significant health impact [1]. However, vaccine pricing controversy — $130/dose versus $15-26 under federal contracts — created tension between mission and commercial strategy [4]. Employee Retention (0/2): A former executive publicly stated the 'spirit of possibility is no more,' indicating cultural deterioration from the pandemic era [4]. Major headcount reductions as part of ~$2B operating expense cuts created organizational instability. Glassdoor reviews describe chaotic management and shifting goals. Insider Buying (1/2): CEO Bancel purchased approximately 160,314 shares (~$5M) at $31 in March 2025, demonstrating meaningful personal conviction during the stock's low point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19.0% scores 1.0 (well below 70% target, reflecting low leverage) [5]. ROE of -39.0% scores 0.0 at 2x weight (deeply negative, below 0% floor) [5]. Revenue growth YoY of 2.1% scores 0.74 (target 10%, floor -20%), with Q2 2026 revenue of $145M modestly above Q2 2025 [1][5]. Revenue growth 5yr CAGR of approximately -35% scores 0.0 at 2x weight (catastrophic post-COVID decline from $18.9B peak to $2.2B TTM). Forward P/E of -50.7 excluded (negative earnings, metric undefined) [5]. Profit margin of -141.4% scores 0.0 (below 0% floor) — the company posted a $782M net loss on $145M Q2 revenue [1][5]. PEG unavailable, excluded. Weighted sum: (1x1.0)+(2x0.0)+(1x0.74)+(2x0.0)+(1x0.0) = 1.74. Max weighted sum: 1+2+1+2+1 = 7. Score: 1.74/7 x 10 = 2.5, rounds to 2. The company maintains ~$6.9B in cash and investments (pre-$950M litigation settlement), with year-end target of $4.7-5.2B [1]. Daily dollar volume of ~$4.0B provides exceptional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Moderna demonstrates genuine infinite-game thinking through its long-term commitment to the mRNA platform across multiple therapeutic areas and its transformative pivot from a COVID-only company to a multi-franchise biotech. CEO Bancel invested for a decade before generating any revenue, then maintained $4.5B+ in annual R&amp;D spending despite collapsing revenue and massive losses. However, cultural deterioration flagged by a former executive, workforce reductions, and the $950M litigation settlement create organizational stress that undermines the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Moderna's cause — using mRNA technology to create a new generation of transformative medicines that could cure cancer, prevent pandemics, and treat rare diseases — represents a genuine vision of a future state that does not yet exist [4]. The COVID vaccine validated the platform's potential, and expansion into personalized cancer vaccines (49% melanoma recurrence reduction at 5 years), rare diseases, and pandemic preparedness extends this cause beyond any single product. However, the company was founded only in 2010 and has not demonstrated multi-decade consistency through leadership transitions or industry crises beyond COVID.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former Moderna executive publicly stated the 'spirit of possibility is no more,' indicating significant cultural deterioration from the mission-driven pandemic era [4]. Major headcount reductions as part of ~$2B OpEx cuts and rapid organizational restructuring created instability. Glassdoor reviews describe chaotic management, frequently shifting goals, and a high-pressure environment. The small 4,700-person workforce is under strain from cost-cutting, and critics caution that overreliance on AI tools risks eroding institutional scientific knowledge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Moderna uses competitive dynamics constructively. The FDA's initial acceptance of BioNTech's flu vaccine while declining Moderna's similar application pushed the company to diversify its regulatory strategy internationally, securing EU authorization for mCOMBRIAX [2]. Management frames BioNTech/Pfizer competition as motivation to expand the platform into oncology and rare diseases. The Merck partnership on intismeran demonstrates willingness to collaborate rather than compete exclusively.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Moderna fundamentally reinvented itself from a pre-revenue R&amp;D-stage company to a COVID vaccine manufacturer ($18.9B peak revenue), then pivoted again into a multi-franchise biotech launching mRESVIA (RSV), mCOMBRIAX (first flu+COVID combo), and advancing personalized cancer vaccines through Phase 3 [1][2]. The strategic shift to prioritize international markets and oncology when the U.S. regulatory environment became hostile demonstrates willingness to abandon the most profitable geography in service of the broader platform mission.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Bancel invested for a decade (2010-2020) with zero revenue, demonstrating extraordinary patience and long-term conviction. He personally purchased $5M in shares at $31 during the stock's all-time low in March 2025 [3]. Maintaining $4.5B+ in annual R&amp;D spending despite collapsing revenue and mounting losses required courage to prioritize the pipeline over short-term financial performance. However, $393M in CEO compensation amid massive losses, and cultural deterioration from aggressive cost-cutting, suggest tension between stated cause and organizational reality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Moderna at $225 with a ~$90B market cap has surged over 250% from its August lows following the unanimous FDA VRBPAC positive recommendation for its seasonal flu vaccine and continued pipeline momentum across oncology and combination vaccines [1][2]. The mRNA platform has produced three approved/authorized products (Spikevax, mRESVIA, mCOMBRIAX) with a fourth (flu vaccine) approaching potential approval. The personalized cancer vaccine (intismeran autogene with Merck) showed 49% reduction in recurrence/death at 5 years in melanoma, validating a potentially transformative oncology platform targeting $10B+ peak revenue opportunity [2]. The OpenAI strategic alliance and AI-powered mRNA Design Studio give Moderna structural advantages in sequence optimization and drug development speed [3]. Balance sheet remains strong with ~$5-7B in cash and investments, and D/E of only 19% provides financial flexibility.</w:t>
      </w:r>
    </w:p>
    <w:p>
      <w:pPr>
        <w:spacing w:after="120"/>
      </w:pPr>
      <w:r>
        <w:rPr>
          <w:rFonts w:ascii="Calibri" w:hAnsi="Calibri"/>
          <w:b w:val="0"/>
          <w:color w:val="3A4A28"/>
          <w:sz w:val="20"/>
        </w:rPr>
        <w:t>The bear case is substantial despite the stock's dramatic recovery. At $225, Moderna trades at ~40x 2026E revenue of ~$2.2B with negative earnings (trailing EPS -$7.98, forward EPS -$4.44), pricing in multiple pipeline successes that remain uncertain [1][5]. The company posted a $782M net loss in Q2 2026 on just $145M revenue, with profit margin of -141% and cash burn of ~$3B annually [1]. The 5-year revenue CAGR of -35% captures the devastating post-COVID collapse from $18.9B to $2.2B. Norovirus Phase 3 trial missed statistical criteria at interim analysis, requiring additional enrollment and creating pipeline uncertainty [1]. U.S. regulatory headwinds — mRNA research funding cuts, state-level vaccine skepticism, and political interference — cloud the domestic outlook. Cash runway of ~$4.7-5.2B year-end against ~$3B annual burn provides approximately 1.5-2 years before potential dilutive financing, though the higher stock price improves capital-raising optionality [1]. Former executive commentary about cultural deterioration signals human capital risk during a critical pipeline execution period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Seasonal flu vaccine (mRNA-1010) FDA approval decision imminent after unanimous VRBPAC positive recommendation, potentially Moderna's fourth approved product and first non-COVID revenue diversification at scale [1][2]</w:t>
      </w:r>
    </w:p>
    <w:p>
      <w:pPr>
        <w:spacing w:before="40" w:after="40"/>
        <w:ind w:left="283"/>
      </w:pPr>
      <w:r>
        <w:rPr>
          <w:rFonts w:ascii="Calibri" w:hAnsi="Calibri"/>
          <w:b/>
          <w:color w:val="4A6B25"/>
          <w:sz w:val="20"/>
        </w:rPr>
        <w:t xml:space="preserve">2. </w:t>
      </w:r>
      <w:r>
        <w:rPr>
          <w:rFonts w:ascii="Calibri" w:hAnsi="Calibri"/>
          <w:b w:val="0"/>
          <w:color w:val="3A4A28"/>
          <w:sz w:val="20"/>
        </w:rPr>
        <w:t>Intismeran autogene Phase 3 interim analysis expected H2 2026 — five-year Phase 2b data showing 49% melanoma recurrence/death reduction validates the personalized cancer vaccine mechanism targeting a $10B+ peak revenue opportunity with Merck [2]</w:t>
      </w:r>
    </w:p>
    <w:p>
      <w:pPr>
        <w:spacing w:before="40" w:after="40"/>
        <w:ind w:left="283"/>
      </w:pPr>
      <w:r>
        <w:rPr>
          <w:rFonts w:ascii="Calibri" w:hAnsi="Calibri"/>
          <w:b/>
          <w:color w:val="4A6B25"/>
          <w:sz w:val="20"/>
        </w:rPr>
        <w:t xml:space="preserve">3. </w:t>
      </w:r>
      <w:r>
        <w:rPr>
          <w:rFonts w:ascii="Calibri" w:hAnsi="Calibri"/>
          <w:b w:val="0"/>
          <w:color w:val="3A4A28"/>
          <w:sz w:val="20"/>
        </w:rPr>
        <w:t>mCOMBRIAX (flu+COVID combination) expanding internationally with EU authorization, Japan/Canada/Australia under review, creating the world's first mRNA combination vaccine franchise while awaiting FDA guidance on U.S. refiling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disconnect — $90B market cap on $2.2B TTM revenue with -141% profit margin requires multiple large pipeline programs to succeed simultaneously, and any clinical or regulatory setback could trigger severe re-rating [1][5]</w:t>
      </w:r>
    </w:p>
    <w:p>
      <w:pPr>
        <w:spacing w:before="40" w:after="40"/>
        <w:ind w:left="283"/>
      </w:pPr>
      <w:r>
        <w:rPr>
          <w:rFonts w:ascii="Calibri" w:hAnsi="Calibri"/>
          <w:b/>
          <w:color w:val="4A6B25"/>
          <w:sz w:val="20"/>
        </w:rPr>
        <w:t xml:space="preserve">2. </w:t>
      </w:r>
      <w:r>
        <w:rPr>
          <w:rFonts w:ascii="Calibri" w:hAnsi="Calibri"/>
          <w:b w:val="0"/>
          <w:color w:val="3A4A28"/>
          <w:sz w:val="20"/>
        </w:rPr>
        <w:t>Cash runway of ~1.5-2 years at current burn rate (~$3B/year against $4.7-5.2B year-end cash) — without meaningful revenue acceleration from pipeline approvals, dilutive equity financing becomes necessary even at the elevated stock price [1]</w:t>
      </w:r>
    </w:p>
    <w:p>
      <w:pPr>
        <w:spacing w:before="40" w:after="40"/>
        <w:ind w:left="283"/>
      </w:pPr>
      <w:r>
        <w:rPr>
          <w:rFonts w:ascii="Calibri" w:hAnsi="Calibri"/>
          <w:b/>
          <w:color w:val="4A6B25"/>
          <w:sz w:val="20"/>
        </w:rPr>
        <w:t xml:space="preserve">3. </w:t>
      </w:r>
      <w:r>
        <w:rPr>
          <w:rFonts w:ascii="Calibri" w:hAnsi="Calibri"/>
          <w:b w:val="0"/>
          <w:color w:val="3A4A28"/>
          <w:sz w:val="20"/>
        </w:rPr>
        <w:t>Pipeline concentration risk — norovirus Phase 3 missed statistical criteria at interim analysis, mRESVIA RSV sales have been described as underwhelming, and the investment thesis depends on cancer vaccine and flu vaccine successes that face uncertain regulatory and competitive environments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Moderna's core business — developing, manufacturing, and distributing mRNA-based vaccines and therapeutics — is deeply protected from AI disruption by structural moats [1]. Drug development requires physical wet-lab research, multi-year clinical trials, FDA regulatory approval (average 10+ years and $2B+ per drug), and complex lipid nanoparticle manufacturing — none of which AI can substitute. Moderna's proprietary mRNA sequences, delivery technology, and manufacturing know-how create defensible IP moats. AI is a significant enabler rather than threat: the mRNA Design Studio uses ML to optimize sequences and 80% of employees use the OpenAI-powered mChat chatbot [3]. However, AI-driven drug discovery platforms could accelerate competitors' development timelines over time. AI Opportunity (1/1): Moderna generates commercially meaningful value from AI through its OpenAI strategic alliance, mRNA Design Studio ML infrastructure, and AI-accelerated drug design — the 2-day COVID vaccine sequence design represents one of the most impactful AI applications in healthcare, and new cancer antigen programs were initiated using AI-driven design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Moderna Q2 2026 Earnings — Revenue $145M (+2.1% YoY), Net Loss $782M (EPS -$1.97), Cash $6.9B Pre-Settlement, Year-End Target $4.7-5.2B, Norovirus Interim Miss, Newswire/SEC 8-K, July 2026</w:t>
      </w:r>
    </w:p>
    <w:p>
      <w:pPr>
        <w:spacing w:before="20" w:after="20"/>
        <w:ind w:left="170"/>
      </w:pPr>
      <w:r>
        <w:rPr>
          <w:rFonts w:ascii="Calibri" w:hAnsi="Calibri"/>
          <w:b/>
          <w:color w:val="4A6B25"/>
          <w:sz w:val="15"/>
        </w:rPr>
        <w:t xml:space="preserve">2. </w:t>
      </w:r>
      <w:r>
        <w:rPr>
          <w:rFonts w:ascii="Calibri" w:hAnsi="Calibri"/>
          <w:b w:val="0"/>
          <w:color w:val="3A4A28"/>
          <w:sz w:val="17"/>
        </w:rPr>
        <w:t>Moderna Pipeline Updates — Flu Vaccine Unanimous VRBPAC Recommendation, 5-Year Melanoma Data (49% Reduction), mCOMBRIAX EU Authorization, Cancer Antigen Programs mRNA-4194/4200, ASCO/MarketBeat 2026</w:t>
      </w:r>
    </w:p>
    <w:p>
      <w:pPr>
        <w:spacing w:before="20" w:after="20"/>
        <w:ind w:left="170"/>
      </w:pPr>
      <w:r>
        <w:rPr>
          <w:rFonts w:ascii="Calibri" w:hAnsi="Calibri"/>
          <w:b/>
          <w:color w:val="4A6B25"/>
          <w:sz w:val="15"/>
        </w:rPr>
        <w:t xml:space="preserve">3. </w:t>
      </w:r>
      <w:r>
        <w:rPr>
          <w:rFonts w:ascii="Calibri" w:hAnsi="Calibri"/>
          <w:b w:val="0"/>
          <w:color w:val="3A4A28"/>
          <w:sz w:val="17"/>
        </w:rPr>
        <w:t>Moderna AI Strategy — OpenAI Strategic Alliance, 80% Employee mChat Adoption, mRNA Design Studio ML, CEO Bancel $5M Share Purchase March 2025, BetterUp/Metis Strategy 2025-2026</w:t>
      </w:r>
    </w:p>
    <w:p>
      <w:pPr>
        <w:spacing w:before="20" w:after="20"/>
        <w:ind w:left="170"/>
      </w:pPr>
      <w:r>
        <w:rPr>
          <w:rFonts w:ascii="Calibri" w:hAnsi="Calibri"/>
          <w:b/>
          <w:color w:val="4A6B25"/>
          <w:sz w:val="15"/>
        </w:rPr>
        <w:t xml:space="preserve">4. </w:t>
      </w:r>
      <w:r>
        <w:rPr>
          <w:rFonts w:ascii="Calibri" w:hAnsi="Calibri"/>
          <w:b w:val="0"/>
          <w:color w:val="3A4A28"/>
          <w:sz w:val="17"/>
        </w:rPr>
        <w:t>Moderna Culture and ESG — Former Executive 'Spirit of Possibility' Commentary, Workforce Reductions, $393M CEO Compensation, Vaccine Pricing Controversy ($130/dose vs $15-26), Glassdoor Reviews,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MRNA Key Statistics: Price $225.00, Forward P/E -50.7, D/E 19.0%, ROE -39.0%, Profit Margin -141.4%, Market Cap $89.8B,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