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MRNO</w:t>
      </w:r>
      <w:r>
        <w:rPr>
          <w:rFonts w:ascii="Calibri" w:hAnsi="Calibri"/>
          <w:b/>
          <w:color w:val="1A2010"/>
          <w:sz w:val="40"/>
        </w:rPr>
        <w:t xml:space="preserve">  Murano Global Investments Plc</w:t>
      </w:r>
    </w:p>
    <w:p>
      <w:pPr>
        <w:spacing w:after="120"/>
      </w:pPr>
      <w:r>
        <w:rPr>
          <w:rFonts w:ascii="Calibri" w:hAnsi="Calibri"/>
          <w:b/>
          <w:color w:val="6E8450"/>
          <w:sz w:val="18"/>
        </w:rPr>
        <w:t>GROWTH SLEEVE · 2026-08-29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Development / Hospitality · NASDAQ · Mexico</w:t>
      </w:r>
    </w:p>
    <w:p>
      <w:pPr>
        <w:spacing w:after="80"/>
      </w:pPr>
      <w:r>
        <w:rPr>
          <w:rFonts w:ascii="Calibri" w:hAnsi="Calibri"/>
          <w:b w:val="0"/>
          <w:color w:val="3A4A28"/>
          <w:sz w:val="20"/>
        </w:rPr>
        <w:t>Murano Global Investments Plc is a Mexico-based luxury real estate developer and hospitality operator with over 30 years of history. The company has deployed $2+ billion in capital across luxury hotels, resort residences, and large-scale commercial projects in Mexico City, Cancun, Ixtapa, and Baja. Portfolio includes partnerships with Hyatt, Accor, and other global hospitality brands, over 1,400 hotel rooms, and $1 billion+ in appraised assets. Founded by Elias Sacal Cababie. Market cap approximately $20 million.</w:t>
      </w:r>
    </w:p>
    <w:p>
      <w:r>
        <w:rPr>
          <w:rFonts w:ascii="Calibri" w:hAnsi="Calibri"/>
          <w:b/>
          <w:color w:val="6E8450"/>
          <w:sz w:val="18"/>
        </w:rPr>
        <w:t>500 Employees · https://www.murano.com.mx</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Murano has expanded from regional Mexican resort development to a Nasdaq-listed global real estate platform, and briefly pursued a Bitcoin treasury initiative with a $500M SEPA (later paused), representing business model evolution if not transformation [1][2]. However, the core business of luxury resort development in Mexico has remained unchanged for 30 years. AI Deployment (0/2): No evidence of AI-powered products, services, or internal AI deployments. Real estate development remains a traditional, human-driven business at Murano. Market Share (1/2): Over $1 billion in appraised assets, 1,400+ constructed hotel rooms, and management agreements with Hyatt and Accor give Murano a meaningful position in Mexico's luxury resort development market [1]. However, market share data relative to Mexican developers was not available. Product Pipeline (0/2): No specific next-generation projects with announced timelines and revenue visibility were identified. The company is focused on core real estate assets and debt restructuring rather than new development announcements. R&amp;D Intensity (0/1): Real estate development companies do not engage in R&amp;D; value creation comes from land acquisition, construction, and asset management.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Elias Sacal's stated philosophy — 'capital, like architecture, should be patient and purpose-built' — and Murano's 30-year focus on 'architectural permanence and capital discipline' reflect a clear perspective on real estate development that differentiates from short-term flippers [1]. However, this is a business philosophy rather than a transformative vision of a better future. Community Impact (0/2): No evidence of charitable giving, foundation, or community investment programs identified in research. Murano's resort developments create local employment but this is incidental to the business model rather than intentional community investment. Employee Retention (0/2): No employee retention, tenure, or culture data available. The company's recent restructuring, debt defaults, and going-concern warnings suggest organizational instability [3]. Insider Buying (1/2): Elias Sacal holds 69.15M shares (approximately 87% of shares outstanding), demonstrating massive ownership alignment, but no recent net insider buying was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1.16M shares at $0.33/share = $383,000 daily liquidity, which is below the $1,000,000 minimum threshold. Infrastructure automatically scores 0 regardless of other metrics. Note: some sources report higher average volume (up to 6.3M shares) reflecting temporary micro-cap momentum trading, but sustained daily dollar volume remains below the $1M floor. For context, the underlying financials are also deeply distressed: D/E of 209% reflects heavy leverage with MXN 11.3B in debt against negative equity [3][4]. ROE of -42.7% indicates the company is destroying shareholder value. The company has disclosed multiple covenant breaches and payment defaults across several loan facilities, flagged material uncertainty about its ability to continue as a going concern, and the stock has declined from a 52-week high of $12.07 to $0.33 (a 97% decline) [3]. Revenue of MXN 1.14B showed 56% growth but the company posted net losses of MXN -282M in 2025.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Despite Elias Sacal's 30-year track record in Mexican real estate development, Murano in its current form is playing a survival game rather than an infinite game. The company's going-concern warnings, multiple debt defaults, covenant breaches, and 98% stock price decline signal an organization in financial crisis. The brief Bitcoin treasury initiative (announced then paused) and SEPA arrangement suggest short-term financial engineering rather than long-term strategic thinking. A company cannot play an infinite game when its ability to continue operating is in material doubt.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Sacal's 30-year commitment to luxury real estate in Mexico demonstrates persistence, and his philosophy of 'patient, purpose-built capital' suggests genuine long-term orientation. However, the purpose is wealth creation through real estate development — there is no articulated vision of a better future that transcends profit. The company's brief Bitcoin treasury initiative and SEPA arrangement suggest financial opportunism rather than cause-driven strategy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Murano is in acute financial distress — multiple covenant breaches, payment defaults across several loan facilities (Beach Club loan, Nafin and Insurgentes structures, 11% 2031 notes), and a going-concern warning create an environment of maximum organizational stress [3]. The recent corporate restructuring and Bitcoin initiative pause suggest strategic instability. This environment is antithetical to the psychological safety and trust that Sinek describes as foundational.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Murano views competitors in the Mexican luxury real estate market. The company's public communications focus on its own asset portfolio and financial restructuring rather than engaging with competitive dynamics or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Murano has shown some strategic adaptability — transitioning from a private Mexican developer to a Nasdaq-listed public company, expanding from resort markets into Mexico City, and attempting a Bitcoin treasury strategy before pausing to refocus on core assets [1][2]. The willingness to pursue and then retreat from the Bitcoin initiative could be viewed as pragmatic flexibility. However, the primary driver appears to be financial necessity and capital access rather than service to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Bitcoin treasury initiative was abandoned quickly, the SEPA arrangement appears to be a dilutive capital raise out of necessity, and the multiple debt defaults suggest an organization managing crisis rather than making strategic investments. The pausing of the Bitcoin initiative may show pragmatism but does not demonstrate the kind of courageous, conviction-driven leadership Sinek values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Murano Global Investments holds over $1 billion in appraised real estate assets across Mexico's premier resort and urban markets, with 1,400+ hotel rooms and management agreements with Hyatt and Accor [1]. Revenue grew 56% to MXN 1.14B in 2025, and the company's 30-year track record under founder Elias Sacal (who owns ~87% of shares) provides operational experience and alignment. The Nasdaq listing provides access to international capital markets, and the company's coastal land positions in Cancun, Ixtapa, and Baja are inherently scarce assets with long-term value. At $20M market cap against $1B+ in appraised assets, the stock trades at a massive discount to stated asset value.</w:t>
      </w:r>
    </w:p>
    <w:p>
      <w:pPr>
        <w:spacing w:after="120"/>
      </w:pPr>
      <w:r>
        <w:rPr>
          <w:rFonts w:ascii="Calibri" w:hAnsi="Calibri"/>
          <w:b w:val="0"/>
          <w:color w:val="3A4A28"/>
          <w:sz w:val="20"/>
        </w:rPr>
        <w:t>The bear case is extreme: Murano has disclosed material uncertainty about its ability to continue as a going concern, with multiple covenant breaches and payment defaults across several loan facilities (Beach Club, Nafin, Insurgentes, 11% 2031 notes) [3]. Debt stands at MXN 11.3B against negative equity (D/E 209%), and the stock has collapsed 97% from its 52-week high of $12.07 to $0.33. Daily liquidity of approximately $383,000 makes meaningful position-building nearly impossible. The abandoned Bitcoin treasury initiative and $500M SEPA suggest financial desperation. ROE of -42.7% confirms the company is destroying capital. The appraised asset values are largely illiquid and may not be realizable at stated levels in a distressed scenario. Mexican real estate carries country risk, currency risk (peso volatility), and regulatory risk that compound the company-specific distress.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debt restructuring across the multiple defaulted facilities would remove the going-concern warning and potentially allow recovery of some shareholder value from the $1B+ asset base</w:t>
      </w:r>
    </w:p>
    <w:p>
      <w:pPr>
        <w:spacing w:before="40" w:after="40"/>
        <w:ind w:left="283"/>
      </w:pPr>
      <w:r>
        <w:rPr>
          <w:rFonts w:ascii="Calibri" w:hAnsi="Calibri"/>
          <w:b/>
          <w:color w:val="4A6B25"/>
          <w:sz w:val="20"/>
        </w:rPr>
        <w:t xml:space="preserve">2. </w:t>
      </w:r>
      <w:r>
        <w:rPr>
          <w:rFonts w:ascii="Calibri" w:hAnsi="Calibri"/>
          <w:b w:val="0"/>
          <w:color w:val="3A4A28"/>
          <w:sz w:val="20"/>
        </w:rPr>
        <w:t>Continued Mexican tourism recovery and resort market strength could improve operating performance and cash flow from the Hyatt and Accor-managed properties</w:t>
      </w:r>
    </w:p>
    <w:p>
      <w:pPr>
        <w:spacing w:before="40" w:after="40"/>
        <w:ind w:left="283"/>
      </w:pPr>
      <w:r>
        <w:rPr>
          <w:rFonts w:ascii="Calibri" w:hAnsi="Calibri"/>
          <w:b/>
          <w:color w:val="4A6B25"/>
          <w:sz w:val="20"/>
        </w:rPr>
        <w:t xml:space="preserve">3. </w:t>
      </w:r>
      <w:r>
        <w:rPr>
          <w:rFonts w:ascii="Calibri" w:hAnsi="Calibri"/>
          <w:b w:val="0"/>
          <w:color w:val="3A4A28"/>
          <w:sz w:val="20"/>
        </w:rPr>
        <w:t>Elias Sacal's 87% ownership provides alignment and potential for insider-funded recapitalization if he chooses to inject personal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uncertainty with multiple covenant breaches and payment defaults across loan facilities creates existential risk — creditors could force asset liquidation at distressed prices, wiping out equity holders</w:t>
      </w:r>
    </w:p>
    <w:p>
      <w:pPr>
        <w:spacing w:before="40" w:after="40"/>
        <w:ind w:left="283"/>
      </w:pPr>
      <w:r>
        <w:rPr>
          <w:rFonts w:ascii="Calibri" w:hAnsi="Calibri"/>
          <w:b/>
          <w:color w:val="4A6B25"/>
          <w:sz w:val="20"/>
        </w:rPr>
        <w:t xml:space="preserve">2. </w:t>
      </w:r>
      <w:r>
        <w:rPr>
          <w:rFonts w:ascii="Calibri" w:hAnsi="Calibri"/>
          <w:b w:val="0"/>
          <w:color w:val="3A4A28"/>
          <w:sz w:val="20"/>
        </w:rPr>
        <w:t>Daily trading liquidity of only $383,000 ($0.33 x 1.16M shares) makes the stock effectively untradeable for institutional investors and creates severe price impact risk for any meaningful position</w:t>
      </w:r>
    </w:p>
    <w:p>
      <w:pPr>
        <w:spacing w:before="40" w:after="40"/>
        <w:ind w:left="283"/>
      </w:pPr>
      <w:r>
        <w:rPr>
          <w:rFonts w:ascii="Calibri" w:hAnsi="Calibri"/>
          <w:b/>
          <w:color w:val="4A6B25"/>
          <w:sz w:val="20"/>
        </w:rPr>
        <w:t xml:space="preserve">3. </w:t>
      </w:r>
      <w:r>
        <w:rPr>
          <w:rFonts w:ascii="Calibri" w:hAnsi="Calibri"/>
          <w:b w:val="0"/>
          <w:color w:val="3A4A28"/>
          <w:sz w:val="20"/>
        </w:rPr>
        <w:t>D/E ratio of 209% with MXN 11.3B in debt against negative equity means even modest asset value declines could trigger insolvency, and the $500M SEPA arrangement threatens massive equity dilution for existing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Luxury real estate development and hospitality operations are fundamentally physical businesses — constructing hotels, resort residences, and commercial properties requires land acquisition, permitting, physical construction, materials procurement, and local labor that AI cannot substitute [1]. Murano's competitive advantages — relationships with global hotel brands (Hyatt, Accor), coastal land positions in Cancun, Ixtapa, and Baja, and 30 years of Mexican real estate development expertise — are deeply embedded in physical-world operations and local market knowledge. AI may assist with design rendering, cost estimation, or marketing at the margin, but cannot replace the core value chain. The only modest exposure is in property marketing and sales processes, which could see AI-driven efficiency gains from competitors. AI Opportunity (0/1): No AI-related revenue. Murano does not offer AI products or services and has not deployed AI tools with quantifiable business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Labor Practices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Murano Global Investments Corporate Overview, Leadership, and Asset Portfolio — Invezz Interview with Elias Sacal, Murano IR, 2024-2025</w:t>
      </w:r>
    </w:p>
    <w:p>
      <w:pPr>
        <w:spacing w:before="20" w:after="20"/>
        <w:ind w:left="170"/>
      </w:pPr>
      <w:r>
        <w:rPr>
          <w:rFonts w:ascii="Calibri" w:hAnsi="Calibri"/>
          <w:b/>
          <w:color w:val="4A6B25"/>
          <w:sz w:val="15"/>
        </w:rPr>
        <w:t xml:space="preserve">2. </w:t>
      </w:r>
      <w:r>
        <w:rPr>
          <w:rFonts w:ascii="Calibri" w:hAnsi="Calibri"/>
          <w:b w:val="0"/>
          <w:color w:val="3A4A28"/>
          <w:sz w:val="17"/>
        </w:rPr>
        <w:t>Murano Strategic Shifts: Bitcoin Treasury Initiative Pause and SEPA Announcement — Globe and Mail, Bloomberg, StockTitan, 2024-2025</w:t>
      </w:r>
    </w:p>
    <w:p>
      <w:pPr>
        <w:spacing w:before="20" w:after="20"/>
        <w:ind w:left="170"/>
      </w:pPr>
      <w:r>
        <w:rPr>
          <w:rFonts w:ascii="Calibri" w:hAnsi="Calibri"/>
          <w:b/>
          <w:color w:val="4A6B25"/>
          <w:sz w:val="15"/>
        </w:rPr>
        <w:t xml:space="preserve">3. </w:t>
      </w:r>
      <w:r>
        <w:rPr>
          <w:rFonts w:ascii="Calibri" w:hAnsi="Calibri"/>
          <w:b w:val="0"/>
          <w:color w:val="3A4A28"/>
          <w:sz w:val="17"/>
        </w:rPr>
        <w:t>Murano Financial Distress: Going-Concern Warning, Debt Defaults, and 20-F Annual Report — StockTitan, Simply Wall St,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MRNO Financial Statistics, Trading Metrics, and Valuation — StockAnalysis, KoalaGains, Morningstar,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