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MRP</w:t>
      </w:r>
      <w:r>
        <w:rPr>
          <w:rFonts w:ascii="Calibri" w:hAnsi="Calibri"/>
          <w:b/>
          <w:color w:val="1A2010"/>
          <w:sz w:val="40"/>
        </w:rPr>
        <w:t xml:space="preserve">  Millrose Properties, Inc.</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Millrose Properties is the premier permanent capital solution for residential homebuilders, spun off from Lennar Corporation in January 2025. The company acquires, finances, and develops residential land through long-term, capital-efficient structures, providing homebuilders with a predictable, just-in-time supply of finished homesites via its proprietary HOPP'R technology platform. As of Q2 2026, the company has diversified beyond Lennar with over 40% of invested capital outside the Lennar relationship. Externally managed by Kennedy Lewis Land and Residential Advisors. Market cap approximately $4.8B.</w:t>
      </w:r>
    </w:p>
    <w:p>
      <w:r>
        <w:rPr>
          <w:rFonts w:ascii="Calibri" w:hAnsi="Calibri"/>
          <w:b/>
          <w:color w:val="6E8450"/>
          <w:sz w:val="18"/>
        </w:rPr>
        <w:t>https://millroseproperties.com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Millrose's creation as a $5.5B spin-off from Lennar established an entirely new public company category — large-scale homesite option REIT — that no homebuilder had previously executed [1]. Zero builder walkaway rate in 2025 validated the model during a soft housing market, and Q2 2026 revenue of $196.9M (+32.1% YoY) demonstrates continued execution and scaling [2]. AI Deployment (1/2): The proprietary HOPP'R platform leverages AI-assisted data analytics for real-time underwriting and acquisition decisions, with CTO Adil Pasha overseeing the technology stack [3]. No specific dollar quantification of AI-driven savings has been disclosed. Market Share (1/2): Millrose is the first-mover in large-scale public homesite option platforms with approximately $9.2B in assets growing toward $10.5B, and diversification beyond Lennar to 40%+ of invested capital validates broader market acceptance [2]. Pipeline (1/2): Management targets approximately $2B in incremental capital deployment to reach $10.5B, with clear guidance for 10% AFFO growth and expanding builder partnerships [2]. R&amp;D Intensity (0/1): As an externally managed REIT, R&amp;D spending is minimal; technology innovation comes through the external manager's HOPP'R platform rather than direct company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Millrose's stated purpose — providing the 'scarcest and mission-critical resource in the homebuilding industry' — is clear and functional but primarily a financial engineering thesis rather than an inspiring vision of a better future [1]. CEO Darren Richman frames the business as enabling a 'structural evolution in how builders think about capital allocation,' which is commercially insightful but lacks aspirational quality [3]. Community Impact (0/2): No evidence of charitable programs, foundation, or community investment was identified for this externally managed, newly spun-off entity. Employee Retention (0/2): Millrose is externally managed with all employees provided by Kennedy Lewis. No company-level headcount is reported, and no retention or cultural data is publicly available. Insider Buying (0/2): Insider ownership stands at approximately 1.1%, and no evidence of meaningful net insider buying by executives was identified in the research period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Millrose demonstrates outstanding profitability with a 62.6% profit margin, well above the 20% target, reflecting the asset-light economics of earning option premiums and lot sale margins [4]. D/E of 42.58% is conservative, well below the 70% target, providing significant capacity for the planned $2B deployment. Forward P/E of 8.86x is deeply attractive, pricing in minimal growth expectations despite 32.1% revenue growth [2][4]. Revenue growth YoY of 32.1% significantly exceeds the 10% target. The primary weakness is ROE of 8.12%, below the 15% target, reflecting early-stage asset deployment and REIT equity structure. Revenue growth 5yr CAGR and PEG ratio are unavailable due to the January 2025 spinoff. Liquidity floor cleared: ~1.29M avg volume x $28.87 = $37.2M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Millrose is a financial vehicle created through spin-off engineering, externally managed by Kennedy Lewis. While the novel business model and first-mover positioning show strategic ambition, the company lacks a genuine Just Cause beyond capital efficiency. CEO Richman's framing of 'structural evolution' in homebuilding capital allocation is commercially astute but finite in orientation. At 18 months post-spinoff, Millrose has not yet faced the tests that reveal infinite game character: leadership transitions, market crises, or costly long-term bets against short-term earnings.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Millrose's purpose — solving the land scarcity problem for homebuilders through a technology-enabled option platform — has functional clarity but lacks the idealism and transformative vision of a true Just Cause [1]. CEO Richman describes a 'structural evolution in how builders think about capital allocation,' which is an industry insight rather than a cause that invites contribution beyond financial returns [3]. Providing homesites to builders is a valuable service but does not articulate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As an externally managed company with all employees provided by Kennedy Lewis, Millrose's internal team dynamics are difficult to evaluate independently. No employee headcount is reported, and no information about organizational culture, empowerment, or retention was found. The external management structure creates alignment through fee arrangements rather than through shared purpose or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Richman's competitive language focuses on industry evolution and partnership growth rather than defeating competitors. His framing of Millrose's role as enabling a 'structural evolution' positions the company as advancing the industry rather than winning a zero-sum game [3]. Diversification to multiple homebuilder partners demonstrates an ecosystem-building approach rather than aggressive market capture.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Millrose has not faced a situation requiring existential flexibility in its 18-month history. The spin-off itself was an act of existential flexibility by Lennar, not Millrose. Expansion plans (growing invested capital to $10.5B) represent organic scaling, not a transformative pivot that abandons what is working in service of a larger cause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Richman demonstrated conviction by leading a $5.5B spin-off to create an entirely new public company category, and rapidly diversifying beyond Lennar to 40%+ of invested capital within 18 months shows willingness to build independent capabilities [2][3]. However, the 10% AFFO growth guidance and 104.9% payout ratio suggest prioritization of near-term shareholder returns, and the external management structure limits leadership accountability to a long-term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Millrose Properties at 8.86x forward earnings offers deep value entry into a structurally growing niche — the permanent capital solution for residential homebuilders transitioning to asset-light models [1]. Q2 2026 revenue of $196.9M (+32.1% YoY) demonstrates accelerating model adoption, with management targeting $10.5B in invested capital and 10% AFFO growth [2]. The 62.6% profit margin and 42.58% D/E ratio reflect capital-efficient operations with conservative leverage [4]. Despite the 10.67% dividend yield (REIT distribution), the forward P/E of 8.86x prices in minimal growth expectations — any proof of model durability could drive re-rating toward REIT peer multiples of 12-15x. The proprietary HOPP'R technology platform and AI-driven underwriting create operational advantages in deal selection [3].</w:t>
      </w:r>
    </w:p>
    <w:p>
      <w:pPr>
        <w:spacing w:after="120"/>
      </w:pPr>
      <w:r>
        <w:rPr>
          <w:rFonts w:ascii="Calibri" w:hAnsi="Calibri"/>
          <w:b w:val="0"/>
          <w:color w:val="3A4A28"/>
          <w:sz w:val="20"/>
        </w:rPr>
        <w:t>The bear case centers on concentration risk, payout sustainability, and the unproven nature of the business model through a full housing cycle. While diversification beyond Lennar has reached 40%+, the founding relationship remains the largest single revenue source — any restructuring or reduction in Lennar's lot purchases would materially impair revenue [2]. The 104.9% payout ratio is unsustainable without AFFO growth closing the gap or capital raises creating dilution [4]. ROE of only 8.12% reflects the capital-intensive nature of land ownership and early-stage asset deployment. The external management by Kennedy Lewis creates potential fee conflicts and limits shareholder influence over strategic direction. MRP has never operated independently through a housing downturn, and the stock's decline from ~$30 to $28.87 suggests market skepticism. The Inspire Impact Score of 0 (MIXED) reflects insufficient data for faith-alignment assessment given the company's short public history.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Expansion of invested capital from ~$8.5B to $10.5B+ with new builder partnerships beyond Lennar, validating the lot-banking model's scalability and reducing single-customer concentration risk [2]</w:t>
      </w:r>
    </w:p>
    <w:p>
      <w:pPr>
        <w:spacing w:before="40" w:after="40"/>
        <w:ind w:left="283"/>
      </w:pPr>
      <w:r>
        <w:rPr>
          <w:rFonts w:ascii="Calibri" w:hAnsi="Calibri"/>
          <w:b/>
          <w:color w:val="4A6B25"/>
          <w:sz w:val="20"/>
        </w:rPr>
        <w:t xml:space="preserve">2. </w:t>
      </w:r>
      <w:r>
        <w:rPr>
          <w:rFonts w:ascii="Calibri" w:hAnsi="Calibri"/>
          <w:b w:val="0"/>
          <w:color w:val="3A4A28"/>
          <w:sz w:val="20"/>
        </w:rPr>
        <w:t>Forward P/E of 8.86x and 10.67% dividend yield represent deep value — proof of model durability through the housing cycle could drive re-rating toward REIT peer multiples of 12-15x [4]</w:t>
      </w:r>
    </w:p>
    <w:p>
      <w:pPr>
        <w:spacing w:before="40" w:after="40"/>
        <w:ind w:left="283"/>
      </w:pPr>
      <w:r>
        <w:rPr>
          <w:rFonts w:ascii="Calibri" w:hAnsi="Calibri"/>
          <w:b/>
          <w:color w:val="4A6B25"/>
          <w:sz w:val="20"/>
        </w:rPr>
        <w:t xml:space="preserve">3. </w:t>
      </w:r>
      <w:r>
        <w:rPr>
          <w:rFonts w:ascii="Calibri" w:hAnsi="Calibri"/>
          <w:b w:val="0"/>
          <w:color w:val="3A4A28"/>
          <w:sz w:val="20"/>
        </w:rPr>
        <w:t>HOPP'R technology platform enabling scalable AI-driven underwriting and acquisition analytics, creating competitive advantages as the platform expands to new builder relationships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Single-customer concentration with Lennar remains material despite diversification to 40% non-Lennar — any reduction in lot purchases or in-housing of land banking would significantly impair revenue [2]</w:t>
      </w:r>
    </w:p>
    <w:p>
      <w:pPr>
        <w:spacing w:before="40" w:after="40"/>
        <w:ind w:left="283"/>
      </w:pPr>
      <w:r>
        <w:rPr>
          <w:rFonts w:ascii="Calibri" w:hAnsi="Calibri"/>
          <w:b/>
          <w:color w:val="4A6B25"/>
          <w:sz w:val="20"/>
        </w:rPr>
        <w:t xml:space="preserve">2. </w:t>
      </w:r>
      <w:r>
        <w:rPr>
          <w:rFonts w:ascii="Calibri" w:hAnsi="Calibri"/>
          <w:b w:val="0"/>
          <w:color w:val="3A4A28"/>
          <w:sz w:val="20"/>
        </w:rPr>
        <w:t>Payout ratio of 104.9% exceeds earnings, requiring AFFO growth to close the gap or capital raises (equity dilution or additional debt) to sustain distributions [4]</w:t>
      </w:r>
    </w:p>
    <w:p>
      <w:pPr>
        <w:spacing w:before="40" w:after="40"/>
        <w:ind w:left="283"/>
      </w:pPr>
      <w:r>
        <w:rPr>
          <w:rFonts w:ascii="Calibri" w:hAnsi="Calibri"/>
          <w:b/>
          <w:color w:val="4A6B25"/>
          <w:sz w:val="20"/>
        </w:rPr>
        <w:t xml:space="preserve">3. </w:t>
      </w:r>
      <w:r>
        <w:rPr>
          <w:rFonts w:ascii="Calibri" w:hAnsi="Calibri"/>
          <w:b w:val="0"/>
          <w:color w:val="3A4A28"/>
          <w:sz w:val="20"/>
        </w:rPr>
        <w:t>Housing cycle risk — Millrose has never operated independently through a downturn, and the model's 'just-in-time' lot delivery could face significant stress if builder demand contracts sharply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Millrose's core business — owning, developing, and optioning physical land parcels to homebuilders — is structurally immune to AI substitution [1]. Land is the scarcest input in homebuilding, and AI cannot create physical homesites. The competitive moat is built on capital access, builder relationships, and real estate development expertise requiring human judgment and local market knowledge. Zoning, permitting, and environmental regulatory requirements add barriers AI cannot circumvent. The financial/capital allocation component could see increased competition from AI-powered underwriting competitors over time, preventing a full IMMUNE score. AI Opportunity (1/1): Millrose generates operational value through its HOPP'R platform, which uses AI-assisted analytics for underwriting and acquisition decisions, providing real-time market feedback that improves deal selection and loss avoidance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Millrose Properties Spin-off and Business Model — $5.5B land assets from Lennar, HOPP'R platform, zero walkaway rate in 2025 — PRNewswire, HousingWire, Forbes, February 2025</w:t>
      </w:r>
    </w:p>
    <w:p>
      <w:pPr>
        <w:spacing w:before="20" w:after="20"/>
        <w:ind w:left="170"/>
      </w:pPr>
      <w:r>
        <w:rPr>
          <w:rFonts w:ascii="Calibri" w:hAnsi="Calibri"/>
          <w:b/>
          <w:color w:val="4A6B25"/>
          <w:sz w:val="15"/>
        </w:rPr>
        <w:t xml:space="preserve">2. </w:t>
      </w:r>
      <w:r>
        <w:rPr>
          <w:rFonts w:ascii="Calibri" w:hAnsi="Calibri"/>
          <w:b w:val="0"/>
          <w:color w:val="3A4A28"/>
          <w:sz w:val="17"/>
        </w:rPr>
        <w:t>Millrose Properties Q2 2026 Earnings — Revenue $196.9M (+32.1% YoY), AFFO $0.76/share, Dividend Raised to $0.77, 40%+ Non-Lennar Capital, $10.5B Target — Alphastreet, Investing.com, July 2026</w:t>
      </w:r>
    </w:p>
    <w:p>
      <w:pPr>
        <w:spacing w:before="20" w:after="20"/>
        <w:ind w:left="170"/>
      </w:pPr>
      <w:r>
        <w:rPr>
          <w:rFonts w:ascii="Calibri" w:hAnsi="Calibri"/>
          <w:b/>
          <w:color w:val="4A6B25"/>
          <w:sz w:val="15"/>
        </w:rPr>
        <w:t xml:space="preserve">3. </w:t>
      </w:r>
      <w:r>
        <w:rPr>
          <w:rFonts w:ascii="Calibri" w:hAnsi="Calibri"/>
          <w:b w:val="0"/>
          <w:color w:val="3A4A28"/>
          <w:sz w:val="17"/>
        </w:rPr>
        <w:t>Millrose Properties Leadership and AI Strategy — CEO Darren Richman on Structural Industry Evolution, CTO Adil Pasha, AI-Driven Underwriting — HousingWire, Umbrex, Company Website,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MRP Key Statistics: Forward P/E 8.86x, ROE 8.12%, D/E 42.58%, Profit Margin 62.6%, Dividend Yield 10.67%, Stock Price $28.87,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