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MRVI</w:t>
      </w:r>
      <w:r>
        <w:rPr>
          <w:rFonts w:ascii="Calibri" w:hAnsi="Calibri"/>
          <w:b/>
          <w:color w:val="1A2010"/>
          <w:sz w:val="40"/>
        </w:rPr>
        <w:t xml:space="preserve">  Maravai LifeSciences Holdings, Inc.</w:t>
      </w:r>
    </w:p>
    <w:p>
      <w:pPr>
        <w:spacing w:after="120"/>
      </w:pPr>
      <w:r>
        <w:rPr>
          <w:rFonts w:ascii="Calibri" w:hAnsi="Calibri"/>
          <w:b/>
          <w:color w:val="6E8450"/>
          <w:sz w:val="18"/>
        </w:rPr>
        <w:t>GROWTH SLEEVE · 2026-09-22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NASDAQ · United States</w:t>
      </w:r>
    </w:p>
    <w:p>
      <w:pPr>
        <w:spacing w:after="80"/>
      </w:pPr>
      <w:r>
        <w:rPr>
          <w:rFonts w:ascii="Calibri" w:hAnsi="Calibri"/>
          <w:b w:val="0"/>
          <w:color w:val="3A4A28"/>
          <w:sz w:val="20"/>
        </w:rPr>
        <w:t>Maravai LifeSciences Holdings, Inc. is a global provider of nucleic acid products and services supporting the development and manufacture of novel therapeutics, diagnostics, and vaccines. Operates through TriLink BioTechnologies (CleanCap mRNA capping technology and custom nucleic acids) and Cygnus Technologies (biologics safety testing) segments. Q2 2026 revenue of $51.4M (+9% YoY) with adjusted gross margin expanding 1,600bps to 58.9%. FY2026 guidance of $205-215M revenue and $33-35M adjusted EBITDA. Founded in 2014, headquartered in San Diego, California, with 415 employees.</w:t>
      </w:r>
    </w:p>
    <w:p>
      <w:r>
        <w:rPr>
          <w:rFonts w:ascii="Calibri" w:hAnsi="Calibri"/>
          <w:b/>
          <w:color w:val="6E8450"/>
          <w:sz w:val="18"/>
        </w:rPr>
        <w:t>415 Employees · https://www.maravai.com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CleanCap mRNA capping technology was transformative during the pandemic but the core product has not fundamentally evolved since; the 2024 acquisition of Officinae Bio's DNA and RNA synthesis business represents an incremental capability extension rather than a business model transformation [1][2]. AI Deployment (1/2): The Officinae Bio acquisition brought an AI-enabled sequence design team that integrates machine learning methodologies for nucleic acid optimization, and the company is implementing AI-enabled ERP, demand forecasting, and inventory planning systems, but no quantified revenue or cost savings from AI have been reported [2]. Market Share (1/2): TriLink holds a leading position in the niche CleanCap mRNA capping analog market, with TriLink revenue growing 11.5% YoY in Q2 2026 driven by increased demand for discovery mRNA and GMP consumables [1]. However, the broader nucleic acid production market is dominated by larger players including Thermo Fisher and Danaher. Product Pipeline (1/2): Expansion into synthetic DNA and RNA via Officinae Bio and ongoing CleanCap product extensions provide moderate pipeline visibility, but no specific next-generation products with named launch dates have been disclosed [2]. R&amp;D Intensity (0/1): R&amp;D spending data is not broken out separately in public filings, and the company's focus has been on operational restructuring and cost reduction rather than R&amp;D expansion.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Maravai's stated purpose is to provide products and services that enable the development of innovative medicines and help protect public health — a clear mission connecting nucleic acid technology to therapeutic innovation, but not distinctive enough to differentiate from any life sciences tools peer [4]. Community Impact (0/2): The Maravai LifeSciences Foundation donated $300K to 10 organizations in 2023, which is modest [5]. No evidence of distinctive large-scale community investment programs was found. Employee Retention (0/2): Company has shrunk from ~600 to 415 employees through restructuring. New CEO Bernd Brust appointed June 2025. Glassdoor reviews are mixed, with some citing PE firm (GTCR) influence on management decisions [3]. No specific retention rates or tenure data available. Insider Buying (2/2): CEO Bernd Brust made a significant personal purchase of $809K worth of shares at $3.24 per share after his June 2025 appointment, and insiders have collectively bought $1.9M more in shares than they have sold over the last 12 months, demonstrating meaningful leadership conviction in the turnaround thesis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Maravai remains deeply GAAP-unprofitable with ROE of -33.1% and net profit margin of -37.1%, both scoring 0 [7]. Revenue growth has normalized to 8.5% YoY in Q2 2026 after the one-time COVID vaccine orders that inflated Q1 [1]. The 5-year revenue CAGR is deeply negative at approximately -24% due to the collapse from the $883M 2022 pandemic peak to ~$210M current run-rate, scoring 0 with 2x weight. Forward P/E of -68x reflects continued expected losses (forward EPS -$0.11), scoring 0 [7]. The lone bright spots are D/E of 61.3% (well below the 70% target, scoring maximum) and the approaching-target revenue growth YoY of 8.5% (scoring 0.95). Adjusted gross margin improvement of 1,600bps to 58.9% in Q2 2026 suggests the trajectory is improving, but GAAP profitability remains distant [1]. Liquidity floor cleared: 3.44M avg volume x $7.17 = $24.7M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Maravai is in survival and restructuring mode following the post-pandemic revenue collapse from $883M to ~$210M. New CEO Bernd Brust's June 2025 appointment brought a $50M cost restructuring program and leadership overhaul focused on operational efficiency rather than long-term purpose. The company is playing to survive, not to keep playing indefinitely — a fundamentally finite posture. Q2 2026 adjusted EBITDA of $8.7M (vs -$10.4M prior year) shows the turnaround is progressing, but the strategic orientation remains defensive and quarter-to-quarter focused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Maravai articulates a purpose around enabling nucleic acid medicine innovation and protecting public health, but this reads as standard industry positioning rather than a deeply held vision driving strategic decisions [4]. The company's actions — massive restructuring, leadership turnover, headcount reduction from ~600 to 415 — suggest the current imperative is survival and profitability recovery, not advancing a cause. The purpose has not been tested through multi-decade consistency; Maravai was founded only in 2014.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undergone significant leadership turnover with a new CEO (Brust, June 2025) and operational restructuring that reduced headcount from ~600 to 415 employees [3]. Glassdoor reviews indicate some positive sentiment around culture but also note concerns about PE firm (GTCR) influence on management decisions. The $50M restructuring program creates organizational uncertainty. However, Q2 2026 execution was solid with TriLink revenue up 11.5% and margin expansion, suggesting the remaining team is executing effectively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Maravai's competitive positioning focuses on defending its CleanCap market niche against larger peers like Thermo Fisher and Danaher, but competitive language centers on market positioning rather than learning from rivals' strengths or using competition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Maravai has shown some strategic flexibility — pivoting into mRNA vaccine supply during the pandemic, then restructuring post-pandemic with the Officinae Bio acquisition to expand into AI-enabled synthetic biology capabilities [2]. The transition away from COVID-dependency toward diversified nucleic acid products (discovery mRNA, GMP consumables) demonstrates incremental adaptation, though these moves were driven by market necessity rather than proactive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leadership transition to CEO Brust in June 2025 and the $50M restructuring program represent necessary operational moves rather than courageous long-term investments [3]. No evidence of leadership sacrificing near-term results for long-term capability building; the current strategic focus is on cost reduction, margin improvement, and reaching adjusted EBITDA profitability — defensive moves that optimize for quarterly improvement rather than bold, long-term bets. CEO Brust's $809K personal share purchase signals personal conviction but is not a corporate strategic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Maravai LifeSciences is executing a post-pandemic turnaround under new CEO Bernd Brust, with Q2 2026 delivering $51.4M revenue (+9% YoY), adjusted gross margin expanding 1,600bps to 58.9%, and adjusted EBITDA swinging to $8.7M from -$10.4M a year ago [1]. Management raised FY2026 EBITDA guidance to $33-35M (from $30-32M) while reiterating $205-215M revenue guidance. TriLink's CleanCap technology retains a leading niche position with 11.5% revenue growth driven by discovery mRNA and GMP consumables demand [1]. The Officinae Bio acquisition adds AI-enabled DNA/RNA synthesis capabilities. CEO Brust's $809K personal share purchase at $3.24 (stock now $7.17, +121%) signals meaningful leadership conviction [6]. D/E of 61.3% is well-managed, and the margin trajectory suggests the worst of the post-COVID restructuring is behind the company.</w:t>
      </w:r>
    </w:p>
    <w:p>
      <w:pPr>
        <w:spacing w:after="120"/>
      </w:pPr>
      <w:r>
        <w:rPr>
          <w:rFonts w:ascii="Calibri" w:hAnsi="Calibri"/>
          <w:b w:val="0"/>
          <w:color w:val="3A4A28"/>
          <w:sz w:val="20"/>
        </w:rPr>
        <w:t>The bear case is severe: MRVI remains deeply GAAP-unprofitable with -37% net margins and -33% ROE, and the 5-year revenue trajectory shows a ~76% decline from the $883M 2022 pandemic peak [7]. Revenue growth has normalized to 8.5% YoY (Q2 2026) after the Q1 one-time COVID vaccine orders, and $210M in revenue from a company that did $883M four years ago reflects a structurally smaller business. Forward EPS of -$0.11 means the company is still expected to lose money, with no clear timeline to GAAP profitability [7]. The company competes against much larger, better-capitalized players (Thermo Fisher, Danaher) in nucleic acid production, with only 415 employees and limited resources for R&amp;D investment. The 5-year revenue CAGR of -24% scores 0 with 2x weight in the infrastructure calculation, dragging the mechanical score down. At $7.17 per share with $2.66B market cap on $210M in revenue, the stock requires significant faith in a multi-year recovery trajectory that has not yet demonstrated scale or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gross margin expansion of 1,600bps to 58.9% in Q2 2026 and raised EBITDA guidance to $33-35M signal the turnaround is gaining traction, with potential for GAAP breakeven to approach in FY2027 [1]</w:t>
      </w:r>
    </w:p>
    <w:p>
      <w:pPr>
        <w:spacing w:before="40" w:after="40"/>
        <w:ind w:left="283"/>
      </w:pPr>
      <w:r>
        <w:rPr>
          <w:rFonts w:ascii="Calibri" w:hAnsi="Calibri"/>
          <w:b/>
          <w:color w:val="4A6B25"/>
          <w:sz w:val="20"/>
        </w:rPr>
        <w:t xml:space="preserve">2. </w:t>
      </w:r>
      <w:r>
        <w:rPr>
          <w:rFonts w:ascii="Calibri" w:hAnsi="Calibri"/>
          <w:b w:val="0"/>
          <w:color w:val="3A4A28"/>
          <w:sz w:val="20"/>
        </w:rPr>
        <w:t>Growing pipeline of mRNA therapeutics in oncology, rare diseases, and personalized medicine driving secular demand for CleanCap and custom nucleic acid products beyond pandemic-era vaccine applications [1][2]</w:t>
      </w:r>
    </w:p>
    <w:p>
      <w:pPr>
        <w:spacing w:before="40" w:after="40"/>
        <w:ind w:left="283"/>
      </w:pPr>
      <w:r>
        <w:rPr>
          <w:rFonts w:ascii="Calibri" w:hAnsi="Calibri"/>
          <w:b/>
          <w:color w:val="4A6B25"/>
          <w:sz w:val="20"/>
        </w:rPr>
        <w:t xml:space="preserve">3. </w:t>
      </w:r>
      <w:r>
        <w:rPr>
          <w:rFonts w:ascii="Calibri" w:hAnsi="Calibri"/>
          <w:b w:val="0"/>
          <w:color w:val="3A4A28"/>
          <w:sz w:val="20"/>
        </w:rPr>
        <w:t>CEO Brust's $809K insider buying at $3.24 (now $7.17) and $1.9M net insider buying over 12 months demonstrate conviction in the turnaround thesis from people with the deepest visibility into the business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deep GAAP unprofitability with -37% net margins, -33% ROE, and forward EPS of -$0.11 — no clear timeline to positive net income even as adjusted EBITDA improves [7]</w:t>
      </w:r>
    </w:p>
    <w:p>
      <w:pPr>
        <w:spacing w:before="40" w:after="40"/>
        <w:ind w:left="283"/>
      </w:pPr>
      <w:r>
        <w:rPr>
          <w:rFonts w:ascii="Calibri" w:hAnsi="Calibri"/>
          <w:b/>
          <w:color w:val="4A6B25"/>
          <w:sz w:val="20"/>
        </w:rPr>
        <w:t xml:space="preserve">2. </w:t>
      </w:r>
      <w:r>
        <w:rPr>
          <w:rFonts w:ascii="Calibri" w:hAnsi="Calibri"/>
          <w:b w:val="0"/>
          <w:color w:val="3A4A28"/>
          <w:sz w:val="20"/>
        </w:rPr>
        <w:t>Normalized revenue growth of ~8.5% YoY (ex-one-time COVID orders) on a base that collapsed 76% from the pandemic peak, resulting in a deeply negative 5-year CAGR of -24% that reflects a structurally smaller business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Thermo Fisher, Danaher, and well-capitalized life sciences tools companies that can invest more heavily in technology, manufacturing scale, and customer relationships — Maravai has only 415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Maravai's core business — manufacturing physical nucleic acid products (CleanCap analogs, custom oligonucleotides, host cell protein assay kits) — requires wet-lab chemistry and biological production capabilities that AI cannot substitute [2]. The physical production, quality control, and regulatory compliance moats provide meaningful protection. However, AI-enabled competitors could accelerate sequence design and synthesis optimization, potentially commoditizing aspects of the custom nucleic acid market, and larger competitors like Thermo Fisher and Danaher have deeper AI investment capabilities. AI is also transforming drug discovery workflows, which could change the demand profile for Maravai's products in unpredictable ways. AI Opportunity (0/1): While Maravai acquired Officinae Bio's AI-enabled sequence design team and is implementing AI for internal planning, no quantifiable AI-generated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Maravai LifeSciences Q2 2026 Earnings Release — $51.4M revenue (+9% YoY), adj gross margin 58.9% (+1600bps), adj EBITDA $8.7M, raised FY2026 EBITDA guidance to $33-35M; investors.maravai.com, August 2026</w:t>
      </w:r>
    </w:p>
    <w:p>
      <w:pPr>
        <w:spacing w:before="20" w:after="20"/>
        <w:ind w:left="170"/>
      </w:pPr>
      <w:r>
        <w:rPr>
          <w:rFonts w:ascii="Calibri" w:hAnsi="Calibri"/>
          <w:b/>
          <w:color w:val="4A6B25"/>
          <w:sz w:val="15"/>
        </w:rPr>
        <w:t xml:space="preserve">2. </w:t>
      </w:r>
      <w:r>
        <w:rPr>
          <w:rFonts w:ascii="Calibri" w:hAnsi="Calibri"/>
          <w:b w:val="0"/>
          <w:color w:val="3A4A28"/>
          <w:sz w:val="17"/>
        </w:rPr>
        <w:t>Maravai LifeSciences Officinae Bio DNA/RNA Business Acquisition — AI-enabled sequence design capabilities, machine learning integration; BusinessWire, November 2024</w:t>
      </w:r>
    </w:p>
    <w:p>
      <w:pPr>
        <w:spacing w:before="20" w:after="20"/>
        <w:ind w:left="170"/>
      </w:pPr>
      <w:r>
        <w:rPr>
          <w:rFonts w:ascii="Calibri" w:hAnsi="Calibri"/>
          <w:b/>
          <w:color w:val="4A6B25"/>
          <w:sz w:val="15"/>
        </w:rPr>
        <w:t xml:space="preserve">3. </w:t>
      </w:r>
      <w:r>
        <w:rPr>
          <w:rFonts w:ascii="Calibri" w:hAnsi="Calibri"/>
          <w:b w:val="0"/>
          <w:color w:val="3A4A28"/>
          <w:sz w:val="17"/>
        </w:rPr>
        <w:t>Maravai LifeSciences Strategic Restructuring — $50M cost savings, CEO Bernd Brust (June 2025), Glassdoor reviews, GTCR PE influence; Glassdoor, Seeking Alpha, 2025-2026</w:t>
      </w:r>
    </w:p>
    <w:p>
      <w:pPr>
        <w:spacing w:before="20" w:after="20"/>
        <w:ind w:left="170"/>
      </w:pPr>
      <w:r>
        <w:rPr>
          <w:rFonts w:ascii="Calibri" w:hAnsi="Calibri"/>
          <w:b/>
          <w:color w:val="4A6B25"/>
          <w:sz w:val="15"/>
        </w:rPr>
        <w:t xml:space="preserve">4. </w:t>
      </w:r>
      <w:r>
        <w:rPr>
          <w:rFonts w:ascii="Calibri" w:hAnsi="Calibri"/>
          <w:b w:val="0"/>
          <w:color w:val="3A4A28"/>
          <w:sz w:val="17"/>
        </w:rPr>
        <w:t>Maravai LifeSciences Corporate Website — mission, leadership team; maravai.com/who-we-are,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Maravai LifeSciences 2023 ESG Report — Foundation $300K donations, GHG emissions tracking, Scope 3 reporting; investors.maravai.com, July 2024</w:t>
      </w:r>
    </w:p>
    <w:p>
      <w:pPr>
        <w:spacing w:before="20" w:after="20"/>
        <w:ind w:left="170"/>
      </w:pPr>
      <w:r>
        <w:rPr>
          <w:rFonts w:ascii="Calibri" w:hAnsi="Calibri"/>
          <w:b/>
          <w:color w:val="4A6B25"/>
          <w:sz w:val="15"/>
        </w:rPr>
        <w:t xml:space="preserve">6. </w:t>
      </w:r>
      <w:r>
        <w:rPr>
          <w:rFonts w:ascii="Calibri" w:hAnsi="Calibri"/>
          <w:b w:val="0"/>
          <w:color w:val="3A4A28"/>
          <w:sz w:val="17"/>
        </w:rPr>
        <w:t>MRVI Insider Trading Activity — CEO Brust $809K purchase at $3.24, net $1.9M insider buying; StockTitan, Simply Wall St, 2025-2026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MRVI Key Statistics: Stock Price $7.17, Forward P/E -68.21, D/E 61.3%, ROE -33.05%, Profit Margin -37.07%, Avg Volume 3.44M;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