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MRVL</w:t>
      </w:r>
      <w:r>
        <w:rPr>
          <w:rFonts w:ascii="Calibri" w:hAnsi="Calibri"/>
          <w:b/>
          <w:color w:val="1A2010"/>
          <w:sz w:val="40"/>
        </w:rPr>
        <w:t xml:space="preserve">  Marvell Technology, Inc.</w:t>
      </w:r>
    </w:p>
    <w:p>
      <w:pPr>
        <w:spacing w:after="120"/>
      </w:pPr>
      <w:r>
        <w:rPr>
          <w:rFonts w:ascii="Calibri" w:hAnsi="Calibri"/>
          <w:b/>
          <w:color w:val="6E8450"/>
          <w:sz w:val="18"/>
        </w:rPr>
        <w:t>GROWTH SLEEVE · 2026-08-31 · Inspire: 57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Marvell Technology designs and sells data infrastructure semiconductor solutions spanning data center core to network edge. The company's portfolio includes custom AI accelerators (XPUs), electro-optics (PAM4/coherent DSPs), networking switches, storage controllers, and SerDes IP. Under CEO Matt Murphy, Marvell transformed from a consumer chip company into a leading AI data infrastructure semiconductor platform through the acquisitions of Cavium ($6B), Inphi ($10B), and Innovium ($1.1B). Q2 FY2027 delivered record revenue of $2.739B (+37% YoY) with adjusted EPS of $0.94, and AI data center revenue exceeding $2B per quarter. Data center revenue now exceeds 80% of total company revenue. FY2028 revenue target raised to $16.5B.</w:t>
      </w:r>
    </w:p>
    <w:p>
      <w:r>
        <w:rPr>
          <w:rFonts w:ascii="Calibri" w:hAnsi="Calibri"/>
          <w:b/>
          <w:color w:val="6E8450"/>
          <w:sz w:val="18"/>
        </w:rPr>
        <w:t>7,480 Employees · https://www.marvell.com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CEO Matt Murphy has executed one of the most impressive transformations in semiconductors — through the Cavium ($6B, 2018), Inphi ($10B, 2021), and Innovium ($1.1B, 2021) acquisitions, he repositioned Marvell from a consumer chip company to an AI data infrastructure leader [3]. FY2026 revenue of $8.195B (up 42% YoY) validated the pivot, and Q1 FY2027 delivered a new record of $2.418B (up 28% YoY) with the FY2028 revenue target raised to $16.5B [1][2]. AI Deployment (2/2): Marvell ships AI-critical products at massive scale — custom XPU accelerators, PAM4 optical DSPs for 800G/1.6T interconnects, and networking switches deployed in the world's largest AI data centers [2]. Data center revenue was $1.83B in Q1 FY2027 alone, representing 76% of total revenue, making Marvell a top-3 custom AI silicon provider [1]. Market Share (2/2): Marvell is the second-largest custom AI silicon provider behind Broadcom and holds leadership positions in electro-optics DSPs, cloud networking switches, and storage controllers, with custom silicon doubling to $1.5B in FY2026 [2][3]. Product Pipeline (1/2): The company raised its FY2028 revenue target from $15B to $16.5B (approximately 45% growth from FY2027's ~$11.5B outlook), driven by new Tier 1 XPU programs, multiple XPU-attach ramps, and the 1.6T electro-optics transition [1]. Murphy's COMPUTEX 2026 keynote signals continued product momentum. R&amp;D Intensity (1/1): Marvell invests heavily in R&amp;D with 7,480 employees largely in engineering roles across silicon design, systems engineering, and software, well above semiconductor industry averages as a percentage of revenue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Marvell's mission to 'move, store, process, and secure the world's data' across increasingly complex infrastructure is specific, thoughtful, and directly tied to the company's strategic direction [3]. Murphy's framing of Marvell as 'the nervous system of AI' connects the company's work to a larger technological purpose, and the mission has been validated by the successful $17B+ acquisition spree and pivot to AI infrastructure. However, Murphy's tenure (since 2016) has not yet spanned multiple leadership transitions or multi-decade consistency. Community Impact (1/2): Marvell released its inaugural ESG Report in 2022, detailing sustainability goals including responsible mineral sourcing and energy-efficient semiconductor design [4]. The Nominating &amp; Governance Committee provides quarterly ESG oversight. However, no specific philanthropic programs with dollar amounts are prominently featured. Employee Retention (2/2): Murphy's ability to retain key engineering talent through the integration of three major acquisitions — Cavium, Inphi, and Innovium — while maintaining cultural cohesion and accelerating product development is strong evidence of organizational health [3]. The custom silicon business doubling to $1.5B required deep cross-team collaboration from acquired engineers. Insider Buying (0/2): CEO Matt Murphy has been a net insider seller over the past 12 months, selling 52,500 shares versus purchasing 13,600 shares, with sales executed via a 10b5-1 trading plan established in December 2025 [6]. While Murphy retains 788,009 shares (~$214M at current prices) and the sales are pre-arranged, the net selling pattern does not meet the criteria for positive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FY2027 delivered record revenue of $2.739B (+37% YoY) with adjusted EPS of $0.94 and AI data center revenue exceeding $2B per quarter, confirming the accelerating growth trajectory [1]. D/E of 31% reflects a clean balance sheet with $3.84B cash against $5.28B debt despite $17B+ in acquisitions [5]. ROE of 16.52% exceeds the 15% target. Revenue growth of 37% YoY (most recent quarter) and 5-year CAGR of 23.75% demonstrate sustained hypergrowth driven by the AI infrastructure buildout [1][2]. Profit margin of 29% with gross margins above 51% reflects the high-value nature of custom silicon and electro-optics. However, Forward P/E of 50.24 remains well above the 20 target (metric score 0.24/1.0), and Forward PEG of 2.10 exceeds the 1.0 target (metric score 0.45/1.0), reflecting the market's aggressive pricing of AI infrastructure growth despite the stock pulling back approximately 20% from July highs after Q2 earnings [5]. Liquidity floor easily cleared at ~$3.9B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Marvell under Matt Murphy is a compelling infinite game player. The bold $17B+ acquisition strategy to transform from a consumer chip company into an AI data infrastructure leader, the willingness to rebuild the company's identity around a long-term technology thesis, and the engineering-centric culture all demonstrate a company building for decades, not quarters. Murphy held the strategy through the FY2024 revenue downturn ($5.51B, down from FY2023's $5.92B), and the raised FY2028 target to $16.5B validates the long-term approach.</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Marvell's purpose of building the data infrastructure that powers the world's AI and cloud computing is genuine, distinctive, and validated by strategic execution [3]. Murphy's vision has been proven by the successful integration of $17B+ in acquisitions and the pivot to AI infrastructure, with FY2026 revenue of $8.195B and FY2028 targets of $16.5B validating the thesis [1][2]. The cause survived the FY2024 revenue decline when Murphy maintained the AI infrastructure strategy rather than retreating. However, the transformation is still relatively recent (Murphy joined in 2016) — it hasn't survived multiple leadership transitions or extended industry disruption, which separates a 2 from a 3.</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Murphy's ability to acquire and retain key engineering talent across three major acquisitions (Cavium, Inphi, Innovium) while maintaining cultural cohesion is exceptional evidence of high-trust leadership [3]. The fact that critical engineering teams from each acquisition remained, continued to innovate, and collectively drove custom silicon from early revenue to $1.5B in FY2026 demonstrates genuine psychological safety and empowerment [2]. The engineering-heavy culture with 7,480 employees focuses on technical excellence over corporate politics, and the company's ability to cross-pollinate technology from multiple acquired platforms into integrated solutions is only possible in a high-trust environment.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Marvell acknowledges Broadcom as a worthy rival in custom AI silicon and networking, and NVIDIA as both a partner and competitor in data center infrastructure [3]. The NVIDIA alliance — co-developing networking and interconnect solutions rather than competing across every front — demonstrates mature, infinite-minded competitive thinking. Management consistently frames the opportunity in terms of building the best platform and expanding the addressable market rather than taking share from competitors.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Murphy's transformation of Marvell is a textbook example of existential flexibility — he took a consumer-oriented semiconductor company and, through $17B+ in acquisitions (Cavium, Inphi, Innovium), fundamentally reinvented it as an AI data infrastructure platform [3]. This was not incremental evolution; it was a complete redefinition of the company's identity, product portfolio, customer base, and revenue model. The pivot from consumer to data center/AI was driven by a strategic thesis about where technology was heading, not by desperation — FY2026 revenue of $8.195B and the $16.5B FY2028 target confirm the thesis was correct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$17B+ acquisition strategy required genuine courage — Murphy bet the company's future on data infrastructure at a time when Marvell was a mid-cap consumer chip company, taking on significant dilution and integration risk across Cavium, Inphi, and Innovium in rapid succession [3]. He held the course through the FY2024 revenue downturn rather than cutting R&amp;D or abandoning the strategy. However, the current environment of massive AI capex tailwinds makes continued investment easy rather than courageous — the harder test would be maintaining long-term investments during a sustained downturn in AI spending, which hasn't been tested yet.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Marvell Technology is a premier AI data infrastructure semiconductor company delivering accelerating growth under CEO Matt Murphy's strategic vision. Q2 FY2027 set a new revenue record of $2.739B (up 37% YoY) with adjusted EPS of $0.94 and AI data center revenue exceeding $2B per quarter [1]. Data center revenue now represents over 80% of total company revenue, up from less than 10% a decade ago, confirming the transformative strategic pivot. FY2026 delivered $8.195B in revenue (up 42% YoY) with custom silicon doubling to $1.5B across hyperscaler customers [2]. The balance sheet is clean at 31% D/E with $3.84B cash, ROE exceeds 15% at 16.52%, and profit margins of 29% reflect the high-value nature of custom silicon and electro-optics products [5]. The NVIDIA alliance, multi-year hyperscaler design wins, and the 1.6T electro-optics transition provide exceptional revenue visibility toward the $16.5B FY2028 target.</w:t>
      </w:r>
    </w:p>
    <w:p>
      <w:pPr>
        <w:spacing w:after="120"/>
      </w:pPr>
      <w:r>
        <w:rPr>
          <w:rFonts w:ascii="Calibri" w:hAnsi="Calibri"/>
          <w:b w:val="0"/>
          <w:color w:val="3A4A28"/>
          <w:sz w:val="20"/>
        </w:rPr>
        <w:t>The primary risk is valuation and execution. Marvell's stock pulled back approximately 20% from the July high of $272 to ~$217 after Q2 FY2027 earnings despite beating estimates, reflecting market concerns about execution risk and the sustainability of AI infrastructure spending at current levels [5]. The trailing P/E of 79.2x and forward P/E of 50.2x with a PEG of 2.10 still price in extraordinary growth expectations — any deceleration from the $16.5B FY2028 target or moderation in hyperscaler AI capex spending would trigger significant further compression. Customer concentration remains acute: a small number of hyperscaler accounts generate the majority of AI-related revenue. Broadcom remains the dominant custom ASIC provider with deeper customer relationships and greater scale, while NVIDIA's expanding networking portfolio creates competitive pressure in electro-optics and switches [3]. CEO Matt Murphy has been a net insider seller, disposing of 52,500 shares versus purchasing 13,600 shares, though sales were via a pre-arranged 10b5-1 plan and he retains significant holdings [6]. The semiconductor industry is inherently cyclical, and the current AI capex super-cycle may moderate as hyperscalers evaluate ROI on their massive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FY2028 revenue target raised to $16.5B (from $15B), implying ~45% growth from FY2027's ~$11.5B outlook, driven by new Tier 1 XPU programs and multiple XPU-attach ramps across hyperscaler customers [1]</w:t>
      </w:r>
    </w:p>
    <w:p>
      <w:pPr>
        <w:spacing w:before="40" w:after="40"/>
        <w:ind w:left="283"/>
      </w:pPr>
      <w:r>
        <w:rPr>
          <w:rFonts w:ascii="Calibri" w:hAnsi="Calibri"/>
          <w:b/>
          <w:color w:val="4A6B25"/>
          <w:sz w:val="20"/>
        </w:rPr>
        <w:t xml:space="preserve">2. </w:t>
      </w:r>
      <w:r>
        <w:rPr>
          <w:rFonts w:ascii="Calibri" w:hAnsi="Calibri"/>
          <w:b w:val="0"/>
          <w:color w:val="3A4A28"/>
          <w:sz w:val="20"/>
        </w:rPr>
        <w:t>1.6T electro-optics transition beginning in 2026-2027, requiring next-generation PAM4 and coherent DSPs where Marvell holds technology leadership via the Inphi acquisition, expanding the interconnect addressable market [3]</w:t>
      </w:r>
    </w:p>
    <w:p>
      <w:pPr>
        <w:spacing w:before="40" w:after="40"/>
        <w:ind w:left="283"/>
      </w:pPr>
      <w:r>
        <w:rPr>
          <w:rFonts w:ascii="Calibri" w:hAnsi="Calibri"/>
          <w:b/>
          <w:color w:val="4A6B25"/>
          <w:sz w:val="20"/>
        </w:rPr>
        <w:t xml:space="preserve">3. </w:t>
      </w:r>
      <w:r>
        <w:rPr>
          <w:rFonts w:ascii="Calibri" w:hAnsi="Calibri"/>
          <w:b w:val="0"/>
          <w:color w:val="3A4A28"/>
          <w:sz w:val="20"/>
        </w:rPr>
        <w:t>Data center revenue reaching 76% of total revenue in Q1 FY2027 at $1.83B quarterly, with the NVIDIA alliance deepening co-development of networking and interconnect solutions for next-generation AI clusters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50.2x and trailing P/E of 79.2x with PEG of 2.10 embed extraordinary growth expectations — the ~20% pullback from $272 to $217 after Q2 earnings despite a revenue beat shows the market's sensitivity to execution risk, and any miss against the $16.5B FY2028 revenue target would trigger further compression [5]</w:t>
      </w:r>
    </w:p>
    <w:p>
      <w:pPr>
        <w:spacing w:before="40" w:after="40"/>
        <w:ind w:left="283"/>
      </w:pPr>
      <w:r>
        <w:rPr>
          <w:rFonts w:ascii="Calibri" w:hAnsi="Calibri"/>
          <w:b/>
          <w:color w:val="4A6B25"/>
          <w:sz w:val="20"/>
        </w:rPr>
        <w:t xml:space="preserve">2. </w:t>
      </w:r>
      <w:r>
        <w:rPr>
          <w:rFonts w:ascii="Calibri" w:hAnsi="Calibri"/>
          <w:b w:val="0"/>
          <w:color w:val="3A4A28"/>
          <w:sz w:val="20"/>
        </w:rPr>
        <w:t>Hyperscaler customer concentration — a small number of accounts (Alphabet, Amazon, Microsoft) generate the majority of AI-related revenue, and any shift toward fully in-house chip design or reallocation of custom silicon budgets could create material headwinds [1]</w:t>
      </w:r>
    </w:p>
    <w:p>
      <w:pPr>
        <w:spacing w:before="40" w:after="40"/>
        <w:ind w:left="283"/>
      </w:pPr>
      <w:r>
        <w:rPr>
          <w:rFonts w:ascii="Calibri" w:hAnsi="Calibri"/>
          <w:b/>
          <w:color w:val="4A6B25"/>
          <w:sz w:val="20"/>
        </w:rPr>
        <w:t xml:space="preserve">3. </w:t>
      </w:r>
      <w:r>
        <w:rPr>
          <w:rFonts w:ascii="Calibri" w:hAnsi="Calibri"/>
          <w:b w:val="0"/>
          <w:color w:val="3A4A28"/>
          <w:sz w:val="20"/>
        </w:rPr>
        <w:t>Broadcom competitive dominance in custom AI ASICs with deeper customer relationships and greater scale, combined with NVIDIA's expanding networking portfolio, could limit Marvell's ability to capture its projected share of the custom silicon market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Marvell IS AI infrastructure — the company's custom XPU accelerators, electro-optic DSPs, and networking switches are essential components inside hyperscaler AI data centers at Alphabet, Amazon, and Microsoft [1][3]. AI cannot disrupt Marvell because AI systems cannot function without the data infrastructure semiconductors Marvell designs — every dollar of AI capex translates into demand for Marvell's products. Data center revenue reached $1.83B in Q1 FY2027, representing 76% of total revenue, confirming that AI demand is the company's primary growth engine [1]. The only modest risk is hyperscalers potentially bringing more chip design in-house, but Marvell's role as the design partner (not just supplier) makes full displacement unlikely. AI Opportunity (1/1): Marvell's AI revenue is massive and accelerating — custom silicon alone reached $1.5B in FY2026 (doubling YoY), data center revenue is now $7.3B annualized, and the raised FY2028 target of $16.5B is overwhelmingly driven by AI infrastructure demand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Marvell Technology Q2 FY2027 Earnings Release — $2.739B record revenue (37% YoY), adjusted EPS $0.94, AI data center revenue &gt;$2B/quarter, Q3 guidance EPS $0.69-0.79 (vs $0.66 consensus), August 2026; Q1 FY2027 — $2.418B revenue (28% YoY), FY2028 target raised to $16.5B, May 2026</w:t>
      </w:r>
    </w:p>
    <w:p>
      <w:pPr>
        <w:spacing w:before="20" w:after="20"/>
        <w:ind w:left="170"/>
      </w:pPr>
      <w:r>
        <w:rPr>
          <w:rFonts w:ascii="Calibri" w:hAnsi="Calibri"/>
          <w:b/>
          <w:color w:val="4A6B25"/>
          <w:sz w:val="15"/>
        </w:rPr>
        <w:t xml:space="preserve">2. </w:t>
      </w:r>
      <w:r>
        <w:rPr>
          <w:rFonts w:ascii="Calibri" w:hAnsi="Calibri"/>
          <w:b w:val="0"/>
          <w:color w:val="3A4A28"/>
          <w:sz w:val="17"/>
        </w:rPr>
        <w:t>Marvell Technology FY2026 Annual Results — $8.195B revenue (42% YoY), custom silicon doubled to $1.5B, GAAP EPS $3.07 (106% YoY), February 2026</w:t>
      </w:r>
    </w:p>
    <w:p>
      <w:pPr>
        <w:spacing w:before="20" w:after="20"/>
        <w:ind w:left="170"/>
      </w:pPr>
      <w:r>
        <w:rPr>
          <w:rFonts w:ascii="Calibri" w:hAnsi="Calibri"/>
          <w:b/>
          <w:color w:val="4A6B25"/>
          <w:sz w:val="15"/>
        </w:rPr>
        <w:t xml:space="preserve">3. </w:t>
      </w:r>
      <w:r>
        <w:rPr>
          <w:rFonts w:ascii="Calibri" w:hAnsi="Calibri"/>
          <w:b w:val="0"/>
          <w:color w:val="3A4A28"/>
          <w:sz w:val="17"/>
        </w:rPr>
        <w:t>Marvell Strategic Analysis — Matt Murphy transformation through Cavium/Inphi/Innovium acquisitions, NVIDIA alliance, COMPUTEX 2026 keynote, Phemex/FinancialContent 2026</w:t>
      </w:r>
    </w:p>
    <w:p>
      <w:pPr>
        <w:spacing w:before="20" w:after="20"/>
        <w:ind w:left="170"/>
      </w:pPr>
      <w:r>
        <w:rPr>
          <w:rFonts w:ascii="Calibri" w:hAnsi="Calibri"/>
          <w:b/>
          <w:color w:val="4A6B25"/>
          <w:sz w:val="15"/>
        </w:rPr>
        <w:t xml:space="preserve">4. </w:t>
      </w:r>
      <w:r>
        <w:rPr>
          <w:rFonts w:ascii="Calibri" w:hAnsi="Calibri"/>
          <w:b w:val="0"/>
          <w:color w:val="3A4A28"/>
          <w:sz w:val="17"/>
        </w:rPr>
        <w:t>Marvell Inaugural ESG Report and Sustainability Programs — responsible mineral sourcing, energy-efficient semiconductor design, quarterly ESG oversight by Nominating &amp; Governance Committee</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GuruFocus — MRVL key statistics (PE 79.20, Forward PE 50.24, PEG 2.10, D/E 31.2%, ROE 16.52%, profit margin 29%),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GuruFocus, Investing.com — MRVL insider transactions: Matthew Murphy sold 52,500 shares vs. purchased 13,600 shares over past 12 months via 10b5-1 plan, retains 788,009 shares, June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