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MSTR</w:t>
      </w:r>
      <w:r>
        <w:rPr>
          <w:rFonts w:ascii="Calibri" w:hAnsi="Calibri"/>
          <w:b/>
          <w:color w:val="1A2010"/>
          <w:sz w:val="40"/>
        </w:rPr>
        <w:t xml:space="preserve">  Strategy Inc</w:t>
      </w:r>
    </w:p>
    <w:p>
      <w:pPr>
        <w:spacing w:after="120"/>
      </w:pPr>
      <w:r>
        <w:rPr>
          <w:rFonts w:ascii="Calibri" w:hAnsi="Calibri"/>
          <w:b/>
          <w:color w:val="6E8450"/>
          <w:sz w:val="18"/>
        </w:rPr>
        <w:t>GROWTH SLEEVE · 2026-10-05 · Inspire: 44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Strategy Inc (formerly MicroStrategy) operates as a bitcoin treasury company and enterprise analytics software provider. The company holds approximately 846,000 BTC (~4% of total bitcoin supply) valued at over $63B in combined acquisition cost, making it the largest corporate bitcoin holder globally. Q1 2026 revenue of $124.3M (+11.9% YoY), Q2 2026 subscription revenue +54% YoY, but an $8.2B net loss in Q2 as bitcoin fell. The company raised approximately $11.7B in capital in 2026 to continue accumulating bitcoin [1][2].</w:t>
      </w:r>
    </w:p>
    <w:p>
      <w:r>
        <w:rPr>
          <w:rFonts w:ascii="Calibri" w:hAnsi="Calibri"/>
          <w:b/>
          <w:color w:val="6E8450"/>
          <w:sz w:val="18"/>
        </w:rPr>
        <w:t>1,615 Employees · https://www.strategy.com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(2/3): Strategy continues scaling its bitcoin treasury transformation, growing holdings to approximately 846,000 BTC (~4% of total supply) while raising $11.7B in capital in 2026 through its capital markets machinery, and recently accelerated its Bitcoin buying spree [1][2]. The subscription revenue transition (+54% YoY in Q2 2026) demonstrates the legacy software business is also evolving. AI Deployment (1/2): Strategy One and Strategy Mosaic continue shipping AI-powered enterprise analytics, though these remain secondary to the bitcoin treasury identity and generate modest, non-disclosed AI-specific revenue [3]. Market Share Leadership (2/2): Strategy remains the undisputed leader in corporate bitcoin treasury holdings at ~4% of total BTC supply — no public company remotely approaches this position, and the company has defined an entirely new corporate finance category that dozens of companies have attempted to replicate [2]. Product Pipeline (1/2): The three-layer capital architecture (Bitcoin as digital capital, STRC as digital credit, stablecoin-linked products as digital money) includes specific quantified targets — a 30% annual BTC-yield goal and digital credit issuance equal to 10-20% of BTC reserves annually — giving concrete forward visibility [2]. R&amp;D Intensity (1/1): R&amp;D spending as a percentage of software revenue remains above average for enterprise software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Strategy's purpose as the leading 'Bitcoin treasury company' providing varying degrees of BTC economic exposure is clear and distinctive, and Saylor frames it ideologically as 'providing a secure store of value' and 'digital capital' for the world — but it ultimately serves financial engineering rather than a deeper social purpose [2]. Community &amp; Charitable Impact (0/2): No evidence of significant corporate philanthropy, foundation activity, or community investment beyond Michael Saylor's personal bitcoin advocacy and evangelism. Employee Retention (1/2): Headcount has declined modestly from 1,689 in 2023 to 1,615 in 2026 (-4.3%) without evidence of mass layoffs or cultural dysfunction, consistent with a stable if lean organization operating in the shadow of Saylor's singular vision [4]. Insider Buying (2/2): Michael Saylor's multi-year pattern of extreme personal conviction in bitcoin and MSTR stock is unmatched in public markets — his entire career, reputation, and net worth are staked on the Bitcoin thesis, and the company's ongoing capital raises of $11.7B in 2026 to buy more BTC demonstrate unwavering commitment even through an $8.2B Q2 loss [1][2].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as a growth stock. D/E of 14.9% scores a full 1.0, reflecting the company's modest leverage relative to its massive BTC balance sheet [1][5]. Forward P/E of 3.23 scores a full 1.0, reflecting deeply discounted expected bitcoin-driven earnings under fair value accounting [5]. However, ROE of -63.6% (2x weight) floors at 0.0 due to trailing mark-to-market bitcoin losses including the $8.2B Q2 2026 net loss, and profit margin at approximately 0% per yfinance also floors at 0.0, consistent with the company's extreme earnings volatility tied to bitcoin price movements [1][5]. Revenue Growth YoY of 6.9% scores 0.90, and 5-year revenue CAGR of approximately -1.7% ($510.8M in FY2021 to $477.2M in FY2025) scores 0.22 (2x weight), reflecting the legacy software business's flat-to-declining trajectory [6]. Weighted sum of 3.34 across 8 available weight units yields a score of 4. Liquidity clears the floor at approximately $3.47B average daily dollar volume (21.7M shares x $160.01)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Strategy combines genuine multi-cycle conviction — the bitcoin treasury cause has survived the 2022 crypto winter, an $8.2B Q2 2026 mark-to-market loss, and a class action lawsuit without any wavering in accumulation strategy — with distinctly finite-game framing. Michael Saylor's publicly stated ambition to become 'the world's largest company by market cap' through bitcoin dominance, his opposition to Bitcoin protocol governance changes, and the company's singular focus on financial engineering over broader purpose reflect a dominance-oriented posture more than an infinite mindset.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Strategy's cause — providing capital markets access to bitcoin as a store of value and 'digital capital' — has now weathered the 2022 crypto winter, an $8.2B Q2 2026 mark-to-market loss, and a class action lawsuit without any change in accumulation strategy, reinforcing multi-cycle consistency [1][4]. Saylor's conviction is genuine and ideologically rooted. However, the cause has not survived a leadership transition away from Saylor, and it serves financial gain more than a broader human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Headcount has declined modestly to 1,615 without evidence of disruptive layoffs, suggesting a stable if lean organization [4]. The company remains heavily centralized around Saylor's vision, with CEO Phong Le executing operationally while Saylor drives Bitcoin strategy as Executive Chairman. The 'cult of MicroStrategy' culture described by former employees suggests devotion to the leader rather than the distributed trust and psychological safety Sinek requires.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Saylor's publicly stated ambition to become 'the world's largest company by market cap' through bitcoin dominance, his direct involvement opposing proposed Bitcoin protocol rule changes (BIP-110), and his dismissal of alternative crypto assets reflect a finite, dominance-oriented competitive posture rather than a mindset that treats rivals as sources of self-improvement [2].</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Strategy's transformation from enterprise analytics vendor to the world's largest corporate bitcoin holder remains one of the most dramatic corporate pivots in modern history, and the 2026 introduction of a formal three-layer capital architecture (Bitcoin, digital credit via STRC, stablecoin-linked digital money) shows continued willingness to redefine the business model rather than simply hold a static position [2]. The company fundamentally abandoned its core identity in service of Saylor's conviction.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Strategy absorbed an $8.2B mark-to-market loss in Q2 2026 without altering its accumulation strategy, raised $11.7B in 2026 capital to buy more Bitcoin while facing class action litigation, and simultaneously reduced net debt — balancing conviction with balance-sheet discipline [1][2]. Saylor's willingness to make small BTC sales to fund preferred dividends shows adaptive courage. However, the highly leveraged structure blurs the line between conviction and financial risk-taking.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Strategy at $160.01 with a $63.8B market cap offers the most leveraged capital-markets-native exposure to bitcoin available in public equities. The company holds approximately 846,000 BTC (~4% of total supply) and has raised $11.7B in capital in 2026 to continue accumulating, with the stock rallying 72% from $93 to $160 as bitcoin prices recovered [1][2]. Q1 2026 software revenue grew 11.9% YoY to $124.3M, and subscription revenue surged 54% YoY in Q2, showing the legacy business is also improving. The three-layer capital architecture (Bitcoin, STRC digital credit, stablecoin-linked products) targets a 30% annual BTC yield with digital credit issuance equal to 10-20% of reserves, giving investors clearer visibility into bitcoin-per-share compounding. Forward P/E of 3.23x reflects deeply discounted expected bitcoin-driven earnings under fair value accounting [5].</w:t>
      </w:r>
    </w:p>
    <w:p>
      <w:pPr>
        <w:spacing w:after="120"/>
      </w:pPr>
      <w:r>
        <w:rPr>
          <w:rFonts w:ascii="Calibri" w:hAnsi="Calibri"/>
          <w:b w:val="0"/>
          <w:color w:val="3A4A28"/>
          <w:sz w:val="20"/>
        </w:rPr>
        <w:t>The bear case centers on extreme concentration risk and legal overhang. Strategy posted an $8.2B net loss in Q2 2026 as bitcoin fell, Q1 EPS of -$38.25 massively missed the -$18.98 estimate, and ROE of -63.6% reflects how violently GAAP results swing with bitcoin price — a further 30% bitcoin decline could materially pressure preferred-dividend coverage and force equity dilution [1]. The company faces a class action lawsuit by Pomerantz LLP alleging misleading statements about its bitcoin strategy, adding legal risk to operational uncertainty [4]. The legacy software business generated essentially flat revenue over five years ($510.8M in FY2021 to $477.2M in FY2025), meaning the company has no growing operating business to fall back on if the bitcoin thesis falters. Critics, including Peter Schiff and independent analysts, have labeled the business model 'unsustainable' or structurally similar to a leveraged fund, and bitcoin ETFs (IBIT, FBTC) continue to offer cleaner, unlevered BTC exposure that structurally caps how much premium MSTR can sustain over its bitcoin NAV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bitcoin price appreciation directly leverages the 846,000 BTC position — the stock has already rallied 72% from $93 to $160 as bitcoin recovered from Q2 2026 lows, and any sustained move above prior highs would generate massive mark-to-market gains under fair value accounting [1][2]</w:t>
      </w:r>
    </w:p>
    <w:p>
      <w:pPr>
        <w:spacing w:before="40" w:after="40"/>
        <w:ind w:left="283"/>
      </w:pPr>
      <w:r>
        <w:rPr>
          <w:rFonts w:ascii="Calibri" w:hAnsi="Calibri"/>
          <w:b/>
          <w:color w:val="4A6B25"/>
          <w:sz w:val="20"/>
        </w:rPr>
        <w:t xml:space="preserve">2. </w:t>
      </w:r>
      <w:r>
        <w:rPr>
          <w:rFonts w:ascii="Calibri" w:hAnsi="Calibri"/>
          <w:b w:val="0"/>
          <w:color w:val="3A4A28"/>
          <w:sz w:val="20"/>
        </w:rPr>
        <w:t>Execution of the three-layer capital architecture — Bitcoin, STRC digital credit, and stablecoin-linked instruments — toward the 30% annual BTC yield target could drive bitcoin-per-share compounding if capital markets access remains open [2]</w:t>
      </w:r>
    </w:p>
    <w:p>
      <w:pPr>
        <w:spacing w:before="40" w:after="40"/>
        <w:ind w:left="283"/>
      </w:pPr>
      <w:r>
        <w:rPr>
          <w:rFonts w:ascii="Calibri" w:hAnsi="Calibri"/>
          <w:b/>
          <w:color w:val="4A6B25"/>
          <w:sz w:val="20"/>
        </w:rPr>
        <w:t xml:space="preserve">3. </w:t>
      </w:r>
      <w:r>
        <w:rPr>
          <w:rFonts w:ascii="Calibri" w:hAnsi="Calibri"/>
          <w:b w:val="0"/>
          <w:color w:val="3A4A28"/>
          <w:sz w:val="20"/>
        </w:rPr>
        <w:t>Subscription revenue acceleration (+54% YoY in Q2 2026) provides a growing recurring software base that could eventually contribute meaningfully to operating income independent of bitcoin price movements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single-asset concentration risk — the $8.2B Q2 2026 loss and Q1 EPS miss of -$38.25 vs -$18.98 estimate illustrate how violently results swing with bitcoin, and a sustained BTC decline could pressure preferred-dividend coverage and force dilutive equity issuance [1]</w:t>
      </w:r>
    </w:p>
    <w:p>
      <w:pPr>
        <w:spacing w:before="40" w:after="40"/>
        <w:ind w:left="283"/>
      </w:pPr>
      <w:r>
        <w:rPr>
          <w:rFonts w:ascii="Calibri" w:hAnsi="Calibri"/>
          <w:b/>
          <w:color w:val="4A6B25"/>
          <w:sz w:val="20"/>
        </w:rPr>
        <w:t xml:space="preserve">2. </w:t>
      </w:r>
      <w:r>
        <w:rPr>
          <w:rFonts w:ascii="Calibri" w:hAnsi="Calibri"/>
          <w:b w:val="0"/>
          <w:color w:val="3A4A28"/>
          <w:sz w:val="20"/>
        </w:rPr>
        <w:t>Class action lawsuit by Pomerantz LLP alleging misleading statements about the bitcoin strategy adds legal risk, while critics label the business model 'unsustainable' and structurally similar to a leveraged fund dependent on continued capital market access [4]</w:t>
      </w:r>
    </w:p>
    <w:p>
      <w:pPr>
        <w:spacing w:before="40" w:after="40"/>
        <w:ind w:left="283"/>
      </w:pPr>
      <w:r>
        <w:rPr>
          <w:rFonts w:ascii="Calibri" w:hAnsi="Calibri"/>
          <w:b/>
          <w:color w:val="4A6B25"/>
          <w:sz w:val="20"/>
        </w:rPr>
        <w:t xml:space="preserve">3. </w:t>
      </w:r>
      <w:r>
        <w:rPr>
          <w:rFonts w:ascii="Calibri" w:hAnsi="Calibri"/>
          <w:b w:val="0"/>
          <w:color w:val="3A4A28"/>
          <w:sz w:val="20"/>
        </w:rPr>
        <w:t>Bitcoin ETF competition (IBIT, FBTC) offers cleaner, unlevered BTC exposure with lower fees, structurally capping the premium MSTR can sustain over its bitcoin NAV as the ETF market matures and grows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 PROTECTED): Strategy's core business is bitcoin treasury management — accumulating, holding, and issuing credit against a ~$63B+ bitcoin balance sheet — which AI cannot replicate or displace, nor can it substitute for the capital-markets financial engineering (digital credit issuance, preferred equity) that drives the company's value proposition [1][2]. The legacy enterprise analytics software segment, now pivoting toward subscriptions (+54% YoY), faces moderate AI disruption risk from generative AI analytics tools, but remains immaterial relative to the bitcoin treasury thesis. The company's moat is Saylor's unique access to capital markets and the BTC balance sheet itself, neither of which AI threatens. AI Opportunity (1/1): Strategy ships AI-powered enterprise analytics through Strategy One, representing quantifiable if modest AI-derived revenue within the growing subscription base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Strategy Inc Q1/Q2 2026 Earnings — $124.3M Q1 Revenue (+11.9%), Q2 $8.2B Net Loss, Subscription Revenue +54% YoY, $11.7B Capital Raised — investing.com, Yahoo Finance, 247wallst.com, 2026</w:t>
      </w:r>
    </w:p>
    <w:p>
      <w:pPr>
        <w:spacing w:before="20" w:after="20"/>
        <w:ind w:left="170"/>
      </w:pPr>
      <w:r>
        <w:rPr>
          <w:rFonts w:ascii="Calibri" w:hAnsi="Calibri"/>
          <w:b/>
          <w:color w:val="4A6B25"/>
          <w:sz w:val="15"/>
        </w:rPr>
        <w:t xml:space="preserve">2. </w:t>
      </w:r>
      <w:r>
        <w:rPr>
          <w:rFonts w:ascii="Calibri" w:hAnsi="Calibri"/>
          <w:b w:val="0"/>
          <w:color w:val="3A4A28"/>
          <w:sz w:val="17"/>
        </w:rPr>
        <w:t>Strategy Inc Bitcoin Treasury Strategy — 846,000 BTC Holdings, Three-Layer Capital Architecture, Buying Acceleration — timothysykes.com, stockstotrade.com, October 2026</w:t>
      </w:r>
    </w:p>
    <w:p>
      <w:pPr>
        <w:spacing w:before="20" w:after="20"/>
        <w:ind w:left="170"/>
      </w:pPr>
      <w:r>
        <w:rPr>
          <w:rFonts w:ascii="Calibri" w:hAnsi="Calibri"/>
          <w:b/>
          <w:color w:val="4A6B25"/>
          <w:sz w:val="15"/>
        </w:rPr>
        <w:t xml:space="preserve">3. </w:t>
      </w:r>
      <w:r>
        <w:rPr>
          <w:rFonts w:ascii="Calibri" w:hAnsi="Calibri"/>
          <w:b w:val="0"/>
          <w:color w:val="3A4A28"/>
          <w:sz w:val="17"/>
        </w:rPr>
        <w:t>Strategy Inc Product Suite — Strategy One, Strategy Mosaic AI Analytics — strategy.com,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Strategy Inc ESG Controversies — Pomerantz Class Action, Bitcoin Environmental Impact, Business Model Criticism — Yahoo Finance, Fortune, ESG Hound,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MSTR Key Statistics, Stock Price $160.01, Forward PE 3.23, Market Cap $63.8B — accessed October 2026</w:t>
      </w:r>
    </w:p>
    <w:p>
      <w:pPr>
        <w:spacing w:before="20" w:after="20"/>
        <w:ind w:left="170"/>
      </w:pPr>
      <w:r>
        <w:rPr>
          <w:rFonts w:ascii="Calibri" w:hAnsi="Calibri"/>
          <w:b/>
          <w:color w:val="4A6B25"/>
          <w:sz w:val="15"/>
        </w:rPr>
        <w:t xml:space="preserve">6. </w:t>
      </w:r>
      <w:r>
        <w:rPr>
          <w:rFonts w:ascii="Calibri" w:hAnsi="Calibri"/>
          <w:b w:val="0"/>
          <w:color w:val="3A4A28"/>
          <w:sz w:val="17"/>
        </w:rPr>
        <w:t>StockAnalysis.com — MSTR Annual Revenue History FY2021-FY2025,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