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w:t>
      </w:r>
      <w:r>
        <w:rPr>
          <w:rFonts w:ascii="Calibri" w:hAnsi="Calibri"/>
          <w:b/>
          <w:color w:val="1A2010"/>
          <w:sz w:val="40"/>
        </w:rPr>
        <w:t xml:space="preserve">  Morgan Stanley</w:t>
      </w:r>
    </w:p>
    <w:p>
      <w:pPr>
        <w:spacing w:after="120"/>
      </w:pPr>
      <w:r>
        <w:rPr>
          <w:rFonts w:ascii="Calibri" w:hAnsi="Calibri"/>
          <w:b/>
          <w:color w:val="6E8450"/>
          <w:sz w:val="18"/>
        </w:rPr>
        <w:t>DIVIDEND SLEEVE · 2026-10-16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Morgan Stanley is a global financial holding company operating through Institutional Securities (investment banking, sales &amp; trading), Wealth Management (financial advisory, E*TRADE self-directed brokerage), and Investment Management ($2T AUM). The firm completed a decade-long transformation under CEO James Gorman (2012-2024) via the $13B E*TRADE (2020) and $7B Eaton Vance (2021) acquisitions, shifting from a trading-heavy investment bank to a wealth management-led franchise. Q2 2026 delivered record revenue of $21.3B (+27% YoY) with EPS of $3.46. Ted Pick succeeded Gorman as CEO in January 2024.</w:t>
      </w:r>
    </w:p>
    <w:p>
      <w:r>
        <w:rPr>
          <w:rFonts w:ascii="Calibri" w:hAnsi="Calibri"/>
          <w:b/>
          <w:color w:val="6E8450"/>
          <w:sz w:val="18"/>
        </w:rPr>
        <w:t>80,000 Employees · https://www.morganstanley.com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Morgan Stanley executed two transformative acquisitions — E*TRADE ($13B, 2020) and Eaton Vance ($7B, 2021) — fundamentally reshaping the firm from a cyclical trading house into a balanced wealth management platform [1]. Q2 2026 delivered record revenue of $21.3B (+27% YoY) with investment banking up 58% to $2.4B, extending record 2025 results ($70.3B revenue) [1]. AI Deployment (2/2): Morgan Stanley was the first major Wall Street firm to deploy OpenAI's GPT-4, now operating 3,500+ AI-driven tools across the firm including real-time scenario analysis, tax planning, portfolio optimization, and conversation transcription saving advisors 10-15 hours weekly [2]. CEO Pick identified 2026 as the 'year of AI breakthrough.' Market Share (2/2): The firm reached $10T in total client assets, with Wealth Management posting record $8.86B Q2 revenue and $148B in net new assets — more than double the prior year [1]. Investment Management AUM hit $2T. Top-3 positions in M&amp;A advisory and equity underwriting globally. Pipeline (0/2): No transformative next-gen products with specific launch timelines beyond continued AI integration and platform buildout. R&amp;D Intensity (1/1): Dedicated AI research team under Jeff McMillan publishes at NeurIPS, ICML, and ICLR, signaling above-peer technology investment intensity for a financial institution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Morgan Stanley's stated purpose is 'helping people, institutions and governments raise, manage and distribute the capital they need to achieve their goals' — clear and functional but interchangeable with any major financial services firm, lacking distinctive aspiration beyond competent capital intermediation [2]. Community Impact (1/2): The firm maintains the Morgan Stanley Foundation, the Alliance for Children's Mental Health initiative, and the Strategy Challenge for non-profits, demonstrating sustained community engagement, though specific philanthropic dollar amounts are not prominently disclosed [3]. Employee Retention (0/2): Approximately 2,500 employees were laid off across all divisions in early 2026, creating workforce anxiety even during record revenue quarters [2]. No specific voluntary turnover or average tenure data was identified. The smooth Gorman-to-Pick CEO transition signals leadership stability but not necessarily rank-and-file retention. Insider Buying (0/2): CEO Ted Pick sold approximately $16M in shares and multiple senior executives (Saperstein, Simkowitz, Grossman) conducted net sales totaling over 400,000 shares combined [4]. Zero insider purchases were reported in recent quarters, constituting a clear net selling pattern.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dividend-weighted metrics. D/E of 517% scores 0.0 — structurally elevated for banks where deposits and borrowings count as debt; industry-standard, not a distress signal [4]. ROE of 18.0% exceeds the 15% target (score 1.0) [4]. Revenue growth YoY of 28% far exceeds the 10% target, driven by record Q2 2026 results [1]. Estimated 5-year revenue CAGR of ~8% approaches the 10% target (score 0.87). Forward P/E of 13.4 is well below the 20 target at current $182 share price (score 1.0) [4]. Profit margin of 25.9% exceeds the 20% target (score 1.0) [4]. Dividend payout ratio of 32.3% is conservative (score 1.0), with ~15 consecutive years of payments (score 1.0, 2x weight), 13 consecutive years of growth (score 1.0), and a 5-year dividend growth CAGR of ~22% vastly exceeding the 6% target (score 1.0, 2x weight) [1][4]. The 15% dividend increase in Q2 2026 to $1.15/quarter ($4.60 annualized) extends the growth streak. Liquidity floor easily cleared at ~$951M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Morgan Stanley demonstrates strong infinite game characteristics anchored by the Gorman-era transformation that fundamentally reinvented the firm from a volatile trading house into a durable wealth management platform. The $20B+ in strategic acquisitions (E*TRADE, Eaton Vance) represent courageous, cause-driven bets on long-term capability over short-term earnings. The $10T client asset milestone validates multi-decade strategic patience. However, the firm's purpose remains financial rather than transcendent, and Wall Street's quarterly earnings focus and inherently short-term incentive structures introduce finite game elements. Ted Pick's early tenure (since Jan 2024) leaves long-term leadership conviction untested.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Morgan Stanley's purpose of helping clients 'raise, manage and distribute capital' is functional and clear but ultimately about financial intermediation rather than a transformative vision of a better future [2]. The Gorman-era vision to build the world's leading wealth management firm was strategic and well-executed but is a business objective, not a Just Cause in Sinek's terms — it describes what the company wants to become, not the better world it is trying to create.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team maintained stability through the smooth CEO transition from Gorman (14-year tenure) to Pick in January 2024, with Pick being an internal successor groomed over years [2]. However, the ~2,500 layoffs in early 2026 during record revenue quarters undermine trust-building efforts. Wall Street's competitive culture and bonus-driven incentive structures limit psychological safety. No specific employee retention or tenure data was identified beyond leadership continuity.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Morgan Stanley consistently benchmarks against Goldman Sachs, JPMorgan, and UBS, using competitive pressure to refine its strategy rather than simply trying to defeat competitors. The firm's pivot to wealth management was partly inspired by observing UBS's model, and its AI acceleration followed fintech innovation — a learn-from-rivals approach rather than a destroy-rivals mentality [1][2].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Morgan Stanley's transformation from a trading-dominated investment bank to a wealth management-led franchise represents one of the most significant strategic reinventions in financial services over the past two decades [1]. The $13B E*TRADE and $7B Eaton Vance acquisitions fundamentally changed the firm's revenue composition, risk profile, and identity. Wealth Management now generates over 50% of pretax profits versus under 20% a decade ago. This was a deliberate, purpose-driven pivot that redefined what Morgan Stanley is.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James Gorman demonstrated a pattern of courageous leadership across his 14-year tenure: acquiring Smith Barney during the financial crisis when MS's survival was questioned, the $13B E*TRADE deal during COVID uncertainty, and the $7B Eaton Vance acquisition doubling down on wealth management when the Street questioned ceding trading ground to Goldman Sachs [1]. The firm maintained technology investment through market downturns and pursued strategic transformation over quarterly optimization. The 13-year consecutive dividend growth streak through multiple crises reflects consistent commitment to long-term capital return.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Morgan Stanley is executing at peak levels with Q2 2026 record revenue of $21.3B (+27% YoY) and EPS of $3.46, driven by a 58% surge in investment banking to $2.4B, record equities revenue of $6.3B, and Wealth Management adding $148B in net new assets to reach the $10T total client asset milestone [1]. The Gorman-era transformation is producing compounding returns: the wealth management-led model generates durable fee-based revenue with 25.9% profit margins and 18% ROE [4]. At 13.4x forward earnings — a significant discount to the S&amp;P 500 — the stock offers compelling value for a franchise growing revenue at 28% YoY. The 2.46% dividend yield with 32% payout ratio and ~22% five-year dividend growth CAGR provides both income and growth, with 3,500+ AI tools driving measurable advisor productivity gains [2][4].</w:t>
      </w:r>
    </w:p>
    <w:p>
      <w:pPr>
        <w:spacing w:after="120"/>
      </w:pPr>
      <w:r>
        <w:rPr>
          <w:rFonts w:ascii="Calibri" w:hAnsi="Calibri"/>
          <w:b w:val="0"/>
          <w:color w:val="3A4A28"/>
          <w:sz w:val="20"/>
        </w:rPr>
        <w:t>The bear case centers on cyclical exposure, structural leverage, and insider selling. Despite the wealth management pivot, ~35-40% of revenue remains tied to Institutional Securities, which is highly sensitive to market conditions — the 58% investment banking surge and record equities reflect exceptional dealmaking and trading volumes that may not persist through a downturn [1]. D/E of 517% is structurally normal for banks but creates balance sheet vulnerability in a severe credit cycle. CEO Pick sold ~$16M in shares and multiple executives are net sellers, suggesting internal caution [4]. The ~2,500 layoffs during record revenue quarters signal aggressive cost optimization that could impair talent retention in a competitive market for financial advisors [2]. Regulatory risk persists with evolving Basel III endgame capital requirements that could constrain capital return. Wealth management fee compression from AI-native fintech platforms and robo-advisors remains a secular headwind at the lower end of the client spectrum.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Wealth management asset gathering flywheel with $148B quarterly net new assets and $10T total client assets creating compounding, durable fee-based revenue streams with improving margins [1]</w:t>
      </w:r>
    </w:p>
    <w:p>
      <w:pPr>
        <w:spacing w:before="40" w:after="40"/>
        <w:ind w:left="283"/>
      </w:pPr>
      <w:r>
        <w:rPr>
          <w:rFonts w:ascii="Calibri" w:hAnsi="Calibri"/>
          <w:b/>
          <w:color w:val="4A6B25"/>
          <w:sz w:val="20"/>
        </w:rPr>
        <w:t xml:space="preserve">2. </w:t>
      </w:r>
      <w:r>
        <w:rPr>
          <w:rFonts w:ascii="Calibri" w:hAnsi="Calibri"/>
          <w:b w:val="0"/>
          <w:color w:val="3A4A28"/>
          <w:sz w:val="20"/>
        </w:rPr>
        <w:t>AI-driven productivity gains across 3,500+ tools with first-mover OpenAI partnership — advisors saving 10-15 hours weekly translates to operating leverage as the 80,000-employee workforce scales AI adoption [2]</w:t>
      </w:r>
    </w:p>
    <w:p>
      <w:pPr>
        <w:spacing w:before="40" w:after="40"/>
        <w:ind w:left="283"/>
      </w:pPr>
      <w:r>
        <w:rPr>
          <w:rFonts w:ascii="Calibri" w:hAnsi="Calibri"/>
          <w:b/>
          <w:color w:val="4A6B25"/>
          <w:sz w:val="20"/>
        </w:rPr>
        <w:t xml:space="preserve">3. </w:t>
      </w:r>
      <w:r>
        <w:rPr>
          <w:rFonts w:ascii="Calibri" w:hAnsi="Calibri"/>
          <w:b w:val="0"/>
          <w:color w:val="3A4A28"/>
          <w:sz w:val="20"/>
        </w:rPr>
        <w:t>Attractive valuation at 13.4x forward earnings with 2.46% dividend yield, 32% payout ratio, and ~22% five-year dividend growth CAGR providing substantial room for continued dividend acceleration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Institutional Securities cyclicality — record equities ($6.3B) and 58% investment banking surge reflect exceptional conditions; a market downturn or M&amp;A slowdown could compress the ~35-40% of revenue tied to capital markets [1]</w:t>
      </w:r>
    </w:p>
    <w:p>
      <w:pPr>
        <w:spacing w:before="40" w:after="40"/>
        <w:ind w:left="283"/>
      </w:pPr>
      <w:r>
        <w:rPr>
          <w:rFonts w:ascii="Calibri" w:hAnsi="Calibri"/>
          <w:b/>
          <w:color w:val="4A6B25"/>
          <w:sz w:val="20"/>
        </w:rPr>
        <w:t xml:space="preserve">2. </w:t>
      </w:r>
      <w:r>
        <w:rPr>
          <w:rFonts w:ascii="Calibri" w:hAnsi="Calibri"/>
          <w:b w:val="0"/>
          <w:color w:val="3A4A28"/>
          <w:sz w:val="20"/>
        </w:rPr>
        <w:t>Basel III endgame capital requirements could force higher reserves, constraining the 32% payout ratio and limiting the dividend growth trajectory that has averaged 22% CAGR over five years [4]</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Ted Pick has led for under two years during favorable markets; ability to maintain Gorman's strategic discipline through a downturn is unproven, and significant insider selling signals potential caution about current valuations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Morgan Stanley's core wealth management franchise — built on trusted advisor relationships, fiduciary duty, KYC/AML regulatory requirements, and complex estate/tax planning — has meaningful defensive moats against AI substitution [2]. Investment banking's relationship-driven M&amp;A advisory and capital markets origination require human trust and judgment. However, equity research, algorithmic trading, and back-office operations face genuine AI displacement risk, and fintech AI platforms continue pressuring the lower end of wealth management. The 2,500 layoffs in 2026 partly reflect AI-driven efficiency gains [2]. The $10T wealth management platform serving ultra-high-net-worth clients has natural moats through relationship depth and switching costs. AI Opportunity (1/1): Morgan Stanley operates 3,500+ AI tools firm-wide with claimed near-universal employee adoption, AI-powered wealth advisor assistants saving 10-15 hours weekly, and first-mover advantage from the OpenAI GPT-4 partnership [2]. AI is generating measurable productivity gains across client-facing and operational functions.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Morgan Stanley Q2 2026 Earnings — Record Revenue $21.3B (+27% YoY), EPS $3.46, IB Revenue $2.4B (+58%), Equities $6.3B Record, WM $8.86B Record, $148B Net New Assets, $10T Total Client Assets, 15% Dividend Increase, July 2026</w:t>
      </w:r>
    </w:p>
    <w:p>
      <w:pPr>
        <w:spacing w:before="20" w:after="20"/>
        <w:ind w:left="170"/>
      </w:pPr>
      <w:r>
        <w:rPr>
          <w:rFonts w:ascii="Calibri" w:hAnsi="Calibri"/>
          <w:b/>
          <w:color w:val="4A6B25"/>
          <w:sz w:val="15"/>
        </w:rPr>
        <w:t xml:space="preserve">2. </w:t>
      </w:r>
      <w:r>
        <w:rPr>
          <w:rFonts w:ascii="Calibri" w:hAnsi="Calibri"/>
          <w:b w:val="0"/>
          <w:color w:val="3A4A28"/>
          <w:sz w:val="17"/>
        </w:rPr>
        <w:t>Morgan Stanley AI Strategy, Leadership, and Culture — CEO Ted Pick, Head of AI Jeff McMillan, 3,500+ AI Tools, OpenAI GPT-4 Partnership, 10-15 Hr/Week Advisor Savings, ~2,500 Layoffs March 2026 — BankingDive, Quartz, OneReach,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Morgan Stanley ESG Profile — Sustainalytics ESG Risk Score 24.6, Moderate Controversy Level, Morgan Stanley Foundation, Alliance for Children's Mental Health — Yahoo Finance, WealthManagement.com,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Morgan Stanley Financial Statistics — Stock Price $182.10, Forward P/E 13.4, ROE 18.0%, D/E 517%, Profit Margin 25.9%, Payout Ratio 32.3%, PEG 1.58, Avg Volume 5.2M, Insider Selling Data — Yahoo Finance, StockAnalysis,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