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MTB</w:t>
      </w:r>
      <w:r>
        <w:rPr>
          <w:rFonts w:ascii="Calibri" w:hAnsi="Calibri"/>
          <w:b/>
          <w:color w:val="1A2010"/>
          <w:sz w:val="40"/>
        </w:rPr>
        <w:t xml:space="preserve">  M&amp;T Bank Corporation</w:t>
      </w:r>
    </w:p>
    <w:p>
      <w:pPr>
        <w:spacing w:after="120"/>
      </w:pPr>
      <w:r>
        <w:rPr>
          <w:rFonts w:ascii="Calibri" w:hAnsi="Calibri"/>
          <w:b/>
          <w:color w:val="6E8450"/>
          <w:sz w:val="18"/>
        </w:rPr>
        <w:t>DIVIDEND SLEEVE · 2026-09-25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M&amp;T Bank Corporation is a regional bank holding company with over $213 billion in assets, operating approximately 1,000 branches across the eastern United States through Manufacturers and Traders Trust Company and Wilmington Trust. The bank provides commercial and retail banking, trust, wealth management, and institutional services with deep roots in community banking dating back to 1856. Delivered record Q2 2026 earnings of $818M net income ($5.32 EPS). Headquartered in Buffalo, New York. Market cap approximately $31.6B.</w:t>
      </w:r>
    </w:p>
    <w:p>
      <w:r>
        <w:rPr>
          <w:rFonts w:ascii="Calibri" w:hAnsi="Calibri"/>
          <w:b/>
          <w:color w:val="6E8450"/>
          <w:sz w:val="18"/>
        </w:rPr>
        <w:t>21,662 Employees · https://www.mtb.com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M&amp;T completed the $7.6B People's United Financial acquisition in April 2022, expanding its franchise to 1,000+ branches across the Northeast, but the integration was incremental expansion rather than transformative innovation [1]. No major product launches or business model pivots beyond merger integration in the last 5 years. AI Deployment (2/2): M&amp;T has deployed generative AI to 16,000 of its 21,662 employees (73% of workforce) for email drafting, report summarization, and call center conversation summaries, with CDO Andrew Foster overseeing a disciplined data governance approach and measuring AI value through a formal value capture framework [2]. Forbes profiled M&amp;T's data and AI transformation strategy. The company appointed Kalyana Bedhu as AI Engineering Head [2]. Market Share (1/2): M&amp;T ranks among the top 15 U.S. commercial banks by assets ($213B) and delivered record Q2 2026 results with C&amp;I loans growing 4% to $66.0B, but it is not a category leader or fastest share gainer in any specific banking vertical [1][3]. Pipeline (1/2): AI-powered risk detection and working capital automation tools are in development, and technology transformation continues, but no specific next-gen product launches with defined timelines have been announced [2]. R&amp;D Intensity (0/1): Technology investment exists but is not separately disclosed; R&amp;D spend is below peers like JPMorgan or Capital One that invest heavily in fintech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M&amp;T's stated purpose is 'to make a difference in people's lives' by understanding the individuals and businesses in their neighborhoods — specific and reflective of genuine community-banking intentionality validated by 170 years of execution across multiple leadership generations [4]. Core values of Integrity, Curiosity, Candor, and Ownership are well-articulated and differentiate from generic bank missions. Community Impact (2/2): The M&amp;T Charitable Foundation contributed over $67.4 million in grants and sponsorships to more than 4,200 nonprofit organizations, representing distinctive and substantial community investment [4]. Additionally, M&amp;T committed $1B to renewable energy projects (2022-2027) and $2.26B in affordable housing financing, and set carbon neutrality targets for 2035 [5]. Employee Retention (1/2): CEO Rene Jones has served since 2017 (9+ years), providing leadership continuity following Robert Wilmers' 34-year tenure. The company has 21,662 full-time employees with stable leadership, but some Glassdoor reviews flag IT turnover concerns [2]. Insider Buying (0/2): Net insider selling over the past 12 months — multiple officers sold shares with zero open-market purchases identified, signaling management diversification rather than conviction buying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M&amp;T delivered record Q2 2026 results: $818M net income, $5.32 diluted EPS (up 25% YoY), and $2.53B revenue — the fourth consecutive quarter of outperformance [3]. The stock's pullback from $249 to $218.66 has compressed the Forward P/E to 10.37 and PEG to 1.34, making valuation even more attractive [6]. Profit margin of 32.09% is excellent for the banking sector, scoring 1.0. Revenue growth of 6.2% YoY scores 0.87 against the 10% target, with 5yr CAGR of 18.1% (boosted by People's United) scoring 1.0 [3]. Dividend profile is strong: 39 consecutive years paid (2x weight, 1.0), 10 consecutive years of growth (1.0), conservative payout ratio of 31.76% (1.0), and 5yr dividend growth CAGR of 5.31% (2x weight, 0.89) [6]. ROE of 10.74% remains the primary drag, scoring 0.72 against the 15% target — reflecting the capital-intensive nature of the banking model. D/E excluded as not applicable for banks. Liquidity cleared: 1.07M avg volume x $218.66 = $234M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M&amp;T Bank has operated for 170 years with a consistent community-banking purpose, validated by $67.4M in annual charitable giving and deep neighborhood engagement across the Northeast [4]. CEO Rene Jones has maintained strategic discipline through the People's United integration and AI transformation, continuing the community-first philosophy established during Robert Wilmers' 34-year tenure. The company's willingness to acknowledge competitive pressures and respond with technology investment while staying true to community banking reflects an infinite-game orientation, tempered by insider selling that signals finite profit-taking.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M&amp;T's purpose 'to make a difference in people's lives' through understanding neighborhoods is genuine and has been partially validated by 170 years of community banking and $67.4M in annual charitable contributions to 4,200+ nonprofits [4]. The purpose survived the leadership transition from Robert Wilmers (34-year CEO) to Rene Jones, suggesting institutional rather than personal commitment. Carbon neutrality and renewable energy goals extend the cause beyond banking to environmental stewardship [5]. However, community banking is a business model that happens to serve communities, not a transformative Just Cause in Sinek's strictest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Rene Jones's 9+ year tenure continues the leadership stability established by Robert Wilmers' 34-year run, and the company reports that 93% of employees believe it is committed to ethical business practices [4]. The 21,662-person workforce operates across 1,000+ branches with generally stable employment. However, Glassdoor reviews cite some turnover in IT departments and mixed sentiment about senior leadership, suggesting adequate but not exceptional organizational trust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M&amp;T acknowledges competitive dynamics with larger national banks (JPMorgan, Bank of America) and fintech challengers, using these pressures to invest in AI tools and digital capabilities while differentiating through deep community relationships rather than attempting to compete on scale [2]. CEO Jones's emphasis on technology transformation as a response to competitive evolution frames competition as motivation for self-improvement rather than market-share warfare. The Forbes-profiled AI strategy reflects learning from tech-forward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$7.6B People's United acquisition in 2022 expanded M&amp;T's footprint from ~800 to 1,000+ branches, representing significant geographic and scale evolution [1]. The AI deployment to 16,000 employees and data transformation initiative demonstrate willingness to modernize a 170-year-old institution [2]. M&amp;T also committed $1B to renewable energy projects and set carbon neutrality by 2035 targets [5]. However, these are incremental adaptations of the community banking model, not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M&amp;T's disciplined approach to AI deployment — prioritizing data governance and customer trust over speed of adoption — shows courage in a market demanding rapid AI transformation [2]. The $7.6B People's United acquisition was a bold capital allocation decision during an uncertain environment. Record Q2 2026 results ($818M net income, $5.32 EPS) validate the strategic patience [3]. However, significant insider selling with zero open-market purchases undermines the signal of long-term leadership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M&amp;T Bank delivered record Q2 2026 results — $818M net income ($5.32 diluted EPS, up 25% YoY) on $2.53B revenue, marking the fourth consecutive quarter of outperformance driven by higher net interest income, robust C&amp;I loan growth of 4% to $66.0B, and improved credit quality [3]. At 10.4x forward earnings following the stock's pullback from $249 to $218.66, M&amp;T offers compelling deep-value income with a 2.74% dividend yield, conservative 31.76% payout ratio, and 10 consecutive years of dividend growth [6]. FY2026 guidance projects NII of $7.2-7.35B and fee income of $2.8-2.85B, supporting consensus EPS of $19.42 (+12.9% YoY) [3]. The successful People's United integration expanded the franchise to 1,000+ branches, and AI deployment to 73% of the workforce is driving measurable productivity gains [2]. The $67.4M annual charitable contribution program and 170-year operating history validate M&amp;T's distinctive community-banking identity [4].</w:t>
      </w:r>
    </w:p>
    <w:p>
      <w:pPr>
        <w:spacing w:after="120"/>
      </w:pPr>
      <w:r>
        <w:rPr>
          <w:rFonts w:ascii="Calibri" w:hAnsi="Calibri"/>
          <w:b w:val="0"/>
          <w:color w:val="3A4A28"/>
          <w:sz w:val="20"/>
        </w:rPr>
        <w:t>The bear case centers on below-peer profitability and concentration risk. ROE of 10.74% remains below the 15% target, reflecting the capital-intensive nature of banking and moderate return profile for a bank of this size [6]. Revenue growth of 6.2% YoY is modest and the 18.1% 5yr CAGR is inflated by the 2022 People's United merger rather than organic growth. The CRE portfolio concentrated in the Northeast office and multifamily markets faces continued headwinds from remote work trends and elevated vacancy rates [3]. Net insider selling — multiple officers selling with zero open-market purchases — signals management diversification rather than conviction in further upside [6]. The Inspire Impact Score of -49 (MISALIGNED) may limit allocation for faith-based investors despite the bank's substantial community investment programs [5]. NII guidance of $7.2-7.35B implies slowing growth from Q2's record pace, and a falling rate environment could compress net interest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earnings momentum after record Q2 2026 ($5.32 EPS, +25% YoY), with FY2026 NII guidance of $7.2-7.35B and fee income of $2.8-2.85B supporting consensus EPS of $19.42 at an attractive 10.4x forward multiple [3]</w:t>
      </w:r>
    </w:p>
    <w:p>
      <w:pPr>
        <w:spacing w:before="40" w:after="40"/>
        <w:ind w:left="283"/>
      </w:pPr>
      <w:r>
        <w:rPr>
          <w:rFonts w:ascii="Calibri" w:hAnsi="Calibri"/>
          <w:b/>
          <w:color w:val="4A6B25"/>
          <w:sz w:val="20"/>
        </w:rPr>
        <w:t xml:space="preserve">2. </w:t>
      </w:r>
      <w:r>
        <w:rPr>
          <w:rFonts w:ascii="Calibri" w:hAnsi="Calibri"/>
          <w:b w:val="0"/>
          <w:color w:val="3A4A28"/>
          <w:sz w:val="20"/>
        </w:rPr>
        <w:t>AI-driven productivity gains from generative AI deployed to 16,000 employees (73% of workforce), with CDO Andrew Foster's formal value capture framework measuring efficiency improvements in call centers, compliance, and reporting [2]</w:t>
      </w:r>
    </w:p>
    <w:p>
      <w:pPr>
        <w:spacing w:before="40" w:after="40"/>
        <w:ind w:left="283"/>
      </w:pPr>
      <w:r>
        <w:rPr>
          <w:rFonts w:ascii="Calibri" w:hAnsi="Calibri"/>
          <w:b/>
          <w:color w:val="4A6B25"/>
          <w:sz w:val="20"/>
        </w:rPr>
        <w:t xml:space="preserve">3. </w:t>
      </w:r>
      <w:r>
        <w:rPr>
          <w:rFonts w:ascii="Calibri" w:hAnsi="Calibri"/>
          <w:b w:val="0"/>
          <w:color w:val="3A4A28"/>
          <w:sz w:val="20"/>
        </w:rPr>
        <w:t>Dividend growth runway supported by conservative 31.76% payout ratio, 10 consecutive years of increases, and 2.74% yield — record earnings provide capacity for accelerated dividend growth or share buybacks [3][6]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real estate concentration in Northeast office and multifamily markets, where remote work trends and elevated vacancy rates create credit quality risk for M&amp;T's geographically concentrated lending portfolio [3]</w:t>
      </w:r>
    </w:p>
    <w:p>
      <w:pPr>
        <w:spacing w:before="40" w:after="40"/>
        <w:ind w:left="283"/>
      </w:pPr>
      <w:r>
        <w:rPr>
          <w:rFonts w:ascii="Calibri" w:hAnsi="Calibri"/>
          <w:b/>
          <w:color w:val="4A6B25"/>
          <w:sz w:val="20"/>
        </w:rPr>
        <w:t xml:space="preserve">2. </w:t>
      </w:r>
      <w:r>
        <w:rPr>
          <w:rFonts w:ascii="Calibri" w:hAnsi="Calibri"/>
          <w:b w:val="0"/>
          <w:color w:val="3A4A28"/>
          <w:sz w:val="20"/>
        </w:rPr>
        <w:t>Below-peer ROE of 10.74% reflects the capital drag from the banking model and People's United integration, potentially limiting the stock's ability to re-rate to peer multiples despite record earnings [6]</w:t>
      </w:r>
    </w:p>
    <w:p>
      <w:pPr>
        <w:spacing w:before="40" w:after="40"/>
        <w:ind w:left="283"/>
      </w:pPr>
      <w:r>
        <w:rPr>
          <w:rFonts w:ascii="Calibri" w:hAnsi="Calibri"/>
          <w:b/>
          <w:color w:val="4A6B25"/>
          <w:sz w:val="20"/>
        </w:rPr>
        <w:t xml:space="preserve">3. </w:t>
      </w:r>
      <w:r>
        <w:rPr>
          <w:rFonts w:ascii="Calibri" w:hAnsi="Calibri"/>
          <w:b w:val="0"/>
          <w:color w:val="3A4A28"/>
          <w:sz w:val="20"/>
        </w:rPr>
        <w:t>Heavy insider selling with zero open-market purchases signals management diversification and potential near-term valuation ceiling despite record results, combined with MISALIGNED Inspire score (-49) limiting faith-based investor allocation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is a heavily regulated, relationship-driven industry with significant physical infrastructure (1,000+ branches) and compliance requirements that AI cannot easily displace [3]. M&amp;T's community-banking model relies on local relationship managers, commercial lending judgment, and regulatory expertise that create natural moats against AI substitution. C&amp;I loan growth of 4% to $66.0B demonstrates the value of relationship-based commercial banking [3]. However, fintech competitors and AI-powered lending platforms create moderate disruption risk for commoditized products like mortgages and consumer loans, and AI chatbots could reduce branch traffic over time. AI Opportunity (1/1): M&amp;T has deployed generative AI to 16,000 employees (73% of workforce) for productivity gains in email drafting, report summarization, and call center operations, with CDO Andrew Foster overseeing a formal value capture framework measuring AI investment returns — one of the most disciplined AI deployment approaches among regional banks, profiled by Forbes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M&amp;T Bank People's United Acquisition — $7.6B merger completed April 2022, expanded to 1,000+ branches across Northeast</w:t>
      </w:r>
    </w:p>
    <w:p>
      <w:pPr>
        <w:spacing w:before="20" w:after="20"/>
        <w:ind w:left="170"/>
      </w:pPr>
      <w:r>
        <w:rPr>
          <w:rFonts w:ascii="Calibri" w:hAnsi="Calibri"/>
          <w:b/>
          <w:color w:val="4A6B25"/>
          <w:sz w:val="15"/>
        </w:rPr>
        <w:t xml:space="preserve">2. </w:t>
      </w:r>
      <w:r>
        <w:rPr>
          <w:rFonts w:ascii="Calibri" w:hAnsi="Calibri"/>
          <w:b w:val="0"/>
          <w:color w:val="3A4A28"/>
          <w:sz w:val="17"/>
        </w:rPr>
        <w:t>Forbes / CDO Magazine — M&amp;T Bank data and AI driving business transformation, generative AI deployed to 16,000 employees, CDO Andrew Foster, AI Engineering Head Kalyana Bedhu, 2025-2026</w:t>
      </w:r>
    </w:p>
    <w:p>
      <w:pPr>
        <w:spacing w:before="20" w:after="20"/>
        <w:ind w:left="170"/>
      </w:pPr>
      <w:r>
        <w:rPr>
          <w:rFonts w:ascii="Calibri" w:hAnsi="Calibri"/>
          <w:b/>
          <w:color w:val="4A6B25"/>
          <w:sz w:val="15"/>
        </w:rPr>
        <w:t xml:space="preserve">3. </w:t>
      </w:r>
      <w:r>
        <w:rPr>
          <w:rFonts w:ascii="Calibri" w:hAnsi="Calibri"/>
          <w:b w:val="0"/>
          <w:color w:val="3A4A28"/>
          <w:sz w:val="17"/>
        </w:rPr>
        <w:t>M&amp;T Bank Q2 2026 Earnings Release — record $818M net income, $5.32 EPS (+25% YoY), $2.53B revenue, NII guidance $7.2-7.35B, fee income $2.8-2.85B, July 2026</w:t>
      </w:r>
    </w:p>
    <w:p>
      <w:pPr>
        <w:spacing w:before="20" w:after="20"/>
        <w:ind w:left="170"/>
      </w:pPr>
      <w:r>
        <w:rPr>
          <w:rFonts w:ascii="Calibri" w:hAnsi="Calibri"/>
          <w:b/>
          <w:color w:val="4A6B25"/>
          <w:sz w:val="15"/>
        </w:rPr>
        <w:t xml:space="preserve">4. </w:t>
      </w:r>
      <w:r>
        <w:rPr>
          <w:rFonts w:ascii="Calibri" w:hAnsi="Calibri"/>
          <w:b w:val="0"/>
          <w:color w:val="3A4A28"/>
          <w:sz w:val="17"/>
        </w:rPr>
        <w:t>M&amp;T Bank Purpose &amp; Values Page, M&amp;T Charitable Foundation — $67.4M in grants to 4,200+ nonprofits, 'to make a difference in people's lives',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M&amp;T Bank ESG Report — $1B renewable energy commitment, carbon neutrality by 2035, $2.26B affordable housing financing, $47.7M charitable grants, 2022-2026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MTB Key Statistics: Forward P/E 10.37, ROE 10.74%, Dividend Yield 2.74%, Payout Ratio 31.76%, Stock Price $218.66,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