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MTG</w:t>
      </w:r>
      <w:r>
        <w:rPr>
          <w:rFonts w:ascii="Calibri" w:hAnsi="Calibri"/>
          <w:b/>
          <w:color w:val="1A2010"/>
          <w:sz w:val="40"/>
        </w:rPr>
        <w:t xml:space="preserve">  MGIC Investment Corporation</w:t>
      </w:r>
    </w:p>
    <w:p>
      <w:pPr>
        <w:spacing w:after="120"/>
      </w:pPr>
      <w:r>
        <w:rPr>
          <w:rFonts w:ascii="Calibri" w:hAnsi="Calibri"/>
          <w:b/>
          <w:color w:val="6E8450"/>
          <w:sz w:val="18"/>
        </w:rPr>
        <w:t>DIVIDEND SLEEVE · 2026-09-11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Specialty (Mortgage Insurance) · NYSE · United States</w:t>
      </w:r>
    </w:p>
    <w:p>
      <w:pPr>
        <w:spacing w:after="80"/>
      </w:pPr>
      <w:r>
        <w:rPr>
          <w:rFonts w:ascii="Calibri" w:hAnsi="Calibri"/>
          <w:b w:val="0"/>
          <w:color w:val="3A4A28"/>
          <w:sz w:val="20"/>
        </w:rPr>
        <w:t>MGIC Investment Corporation, through its principal subsidiary Mortgage Guaranty Insurance Corporation, is one of the largest private mortgage insurers in the U.S., protecting mortgage lenders and investors from credit losses on low-down-payment home loans and enabling homebuyers to purchase with less than 20% down. Q2 2026 net income was $182.1 million ($0.86/share, 14.5% annualized ROE) on new insurance written of $18 billion (+8.5% YoY), though revenue declined 2.9% YoY to $295.4 million as the persistence of the existing insured book and a benign credit environment offset slower new-loan volume. The company reinstated its dividend in 2021 after suspending it during the financial crisis and has since raised it for five consecutive years while maintaining a conservative, low-leverage balance sheet.</w:t>
      </w:r>
    </w:p>
    <w:p>
      <w:r>
        <w:rPr>
          <w:rFonts w:ascii="Calibri" w:hAnsi="Calibri"/>
          <w:b/>
          <w:color w:val="6E8450"/>
          <w:sz w:val="18"/>
        </w:rPr>
        <w:t>542 Employees · https://www.mgic.com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MGIC has made incremental improvements to its computer-assisted, rules-based underwriting system but has not launched a transformative product or pivoted its business model in the last 5 years; the core private mortgage insurance offering is unchanged [1]. AI Deployment (0/2): No evidence was found of a shipped AI-powered underwriting product or a quantified AI-driven cost/revenue benefit — MGIC's automated underwriting predates modern AI and no specific savings figures were disclosed [2]. Market Share (1/2): MGIC is one of the two largest U.S. private mortgage insurers alongside Radian, a meaningful but not dominant position in a stable oligopoly with no evidence of accelerating share gains [1]. Product Pipeline (0/2): No next-generation products with named launch dates or revenue visibility were identified. R&amp;D Intensity (0/1): As a financial guarantor rather than a product manufacturer, MGIC does not report R&amp;D spend as a percentage of revenue, and no comparative data versus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MGIC states that 'sustainable, accessible homeownership is a cornerstone of financial security and strong communities,' a clear purpose connecting the product to family financial outcomes, but the framing is largely interchangeable with peer mortgage insurers and lenders [3]. Community Impact (0/2): No specific charitable programs or dollar-denominated community investment were found in the research window. Employee Retention (1/2): Glassdoor reviews describe a 'warm, positive, and collaborative environment' with 'Top Workplace' recognitions, but the same reviews describe leadership as increasingly disconnected ('executives...rarely seen') and resistant to change, and no hard tenure/turnover data was found [2]. Insider Buying (0/2): In the last 12 months there were zero insider buys and four insider sales totaling roughly $9.74 million, including CEO Timothy Mattke's sale of 137,113 shares in August 2026 and President/COO Salvatore Miosi's sales of 30,000 shares in both June and August 2026 — a clear pattern of net insider selling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Dividend-sleeve stock. MGIC carries minimal leverage (D/E of 13%, far inside the 70% target) and generates an exceptional 59.6% profit margin (insurance-industry-typical given episodic claims), both maxing their component scores [4]. Return on equity of 14.5% sits just under the 15% target, and Forward P/E of 9.43 is well inside the 20x target, reflecting a market pricing in credit-cycle risk despite strong current profitability. The dividend profile is a mixed picture: the 17.2% payout ratio and 19.3% five-year dividend growth CAGR both score at the maximum, but only 5 consecutive years of payments and 5 consecutive years of growth (since the 2021 post-financial-crisis reinstatement) hold back the double-weighted 'consecutive years paid' component. The primary drags are top-line stagnation: revenue fell 2.9% YoY in Q2 2026 and the 5-year revenue CAGR is just 0.6%, both scoring well below target. Liquidity is not a constraint — average daily volume of 1.68M shares at $30.84 implies roughly $52M in daily dollar volume, comfortably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MGIC presents as a fiscally disciplined but largely finite-game player: a stable, well-capitalized mortgage insurer that talks about homeownership as a cornerstone of financial security but shows little evidence of the purpose-driven strategic risk-taking, organizational trust, or business-model reinvention that Sinek associates with infinite-minded companies. The 2008 financial crisis — which nearly destroyed MGIC and forced a decade-long dividend suspension due to reckless underwriting standards — is itself evidence that the company's stated cause was not consistently lived out, and current insider selling and Glassdoor complaints about a rudderless, change-resistant leadership culture reinforce a finite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MGIC's mission around accessible, sustainable homeownership is genuine in framing but reads as standard industry language shared by virtually every mortgage lender and insurer, and the company's own history undercuts the 'resilient, consistently lived' test — MGIC's pre-2008 underwriting practices contributed materially to its near-failure during the financial crisis, forcing government-adjacent intervention and a 13-year dividend suspension, which is difficult to reconcile with a cause centered on sustainable homeownership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cite MGIC as a repeat 'Top Workplace' with a collaborative, positive day-to-day environment and strong benefits, but the same reviews describe a widening gulf between employees and an executive team now housed in a separate building and 'rarely seen,' alongside complaints of 'rudderless senior leadership' and technology resistance — an adequate-trust picture with real limitations rather than a high-trust exemplar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competitors (principally Radian, Essent, and Arch MI) as sources of learning or self-improvement; the mortgage insurance oligopoly's public communications focus on pricing discipline and capital return rather than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No evidence of a strategic pivot or business-model reinvention was found in the last five years; MGIC remains a traditional private mortgage insurer, and Glassdoor reviews specifically describe the company as 'antiquated' with 'slow or no adoption of any new technology or efficiencies' [2].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was found of leadership sacrificing near-term earnings for long-term capability; recent management actions (steady dividend increases, share buybacks, conservative reserving) reflect fiscal prudence rather than costly strategic conviction, and no examples of walking away from profitable-but-misaligned business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MGIC is a conservatively capitalized, highly profitable mortgage insurer trading at a modest 9.43x forward earnings with a 59.6% profit margin, 14.5% annualized ROE, and a debt-to-equity ratio of just 13% [4]. New insurance written grew 8.5% YoY to $18 billion in Q2 2026, and the company has returned to a shareholder-friendly capital allocation posture, raising its dividend for five straight years (19.3% five-year CAGR) while maintaining a low 17.2% payout ratio that leaves ample room for continued increases or buybacks [1][4]. The persistency of MGIC's existing insured book, combined with a still-tight housing supply backdrop, supports a durable earnings base even as new business volumes ebb and flow with mortgage origination cycles.</w:t>
      </w:r>
    </w:p>
    <w:p>
      <w:pPr>
        <w:spacing w:after="120"/>
      </w:pPr>
      <w:r>
        <w:rPr>
          <w:rFonts w:ascii="Calibri" w:hAnsi="Calibri"/>
          <w:b w:val="0"/>
          <w:color w:val="3A4A28"/>
          <w:sz w:val="20"/>
        </w:rPr>
        <w:t>The bear case centers on cyclicality, innovation stagnation, and governance signals. Revenue fell 2.9% YoY in Q2 2026 and the five-year revenue CAGR is essentially flat at 0.6%, reflecting a mature, non-growing insured-portfolio base that is highly sensitive to home-purchase volumes and mortgage rates [1]. Glassdoor reviews describe a company that has become 'antiquated' with slow technology adoption and a leadership team increasingly disconnected from staff, raising doubts about MGIC's ability to compete if AI-driven underwriting tools reshape risk-based pricing industry-wide [2]. Perhaps most notably, CEO Timothy Mattke and President/COO Salvatore Miosi combined to sell roughly $9.74 million of stock in mid-2026 with zero offsetting insider purchases, and the company's own history — near-failure and a 13-year dividend suspension following reckless pre-2008 underwriting — is a cautionary reminder that mortgage insurance economics can deteriorate sharply and quickly in a housing downturn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dividend growth from a low 17.2% payout ratio, with a 19.3% five-year dividend CAGR and five consecutive years of increases since the 2021 reinstatement, supporting total shareholder return even without book growth [4]</w:t>
      </w:r>
    </w:p>
    <w:p>
      <w:pPr>
        <w:spacing w:before="40" w:after="40"/>
        <w:ind w:left="283"/>
      </w:pPr>
      <w:r>
        <w:rPr>
          <w:rFonts w:ascii="Calibri" w:hAnsi="Calibri"/>
          <w:b/>
          <w:color w:val="4A6B25"/>
          <w:sz w:val="20"/>
        </w:rPr>
        <w:t xml:space="preserve">2. </w:t>
      </w:r>
      <w:r>
        <w:rPr>
          <w:rFonts w:ascii="Calibri" w:hAnsi="Calibri"/>
          <w:b w:val="0"/>
          <w:color w:val="3A4A28"/>
          <w:sz w:val="20"/>
        </w:rPr>
        <w:t>New insurance written growth of 8.5% YoY to $18 billion in Q2 2026 signals resilient primary market share even as overall mortgage origination volumes remain constrained by elevated rates [1]</w:t>
      </w:r>
    </w:p>
    <w:p>
      <w:pPr>
        <w:spacing w:before="40" w:after="40"/>
        <w:ind w:left="283"/>
      </w:pPr>
      <w:r>
        <w:rPr>
          <w:rFonts w:ascii="Calibri" w:hAnsi="Calibri"/>
          <w:b/>
          <w:color w:val="4A6B25"/>
          <w:sz w:val="20"/>
        </w:rPr>
        <w:t xml:space="preserve">3. </w:t>
      </w:r>
      <w:r>
        <w:rPr>
          <w:rFonts w:ascii="Calibri" w:hAnsi="Calibri"/>
          <w:b w:val="0"/>
          <w:color w:val="3A4A28"/>
          <w:sz w:val="20"/>
        </w:rPr>
        <w:t>Persistently benign credit performance (14.5% annualized ROE, 59.6% profit margin) as low unemployment and home-price appreciation keep claim incidence low across the existing insured book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Flat-to-declining top line (-2.9% YoY revenue in Q2 2026, 0.6% five-year CAGR) with no evident growth catalyst beyond housing-cycle volume, capping upside in a business increasingly viewed as a mature, no-growth cash cow [1]</w:t>
      </w:r>
    </w:p>
    <w:p>
      <w:pPr>
        <w:spacing w:before="40" w:after="40"/>
        <w:ind w:left="283"/>
      </w:pPr>
      <w:r>
        <w:rPr>
          <w:rFonts w:ascii="Calibri" w:hAnsi="Calibri"/>
          <w:b/>
          <w:color w:val="4A6B25"/>
          <w:sz w:val="20"/>
        </w:rPr>
        <w:t xml:space="preserve">2. </w:t>
      </w:r>
      <w:r>
        <w:rPr>
          <w:rFonts w:ascii="Calibri" w:hAnsi="Calibri"/>
          <w:b w:val="0"/>
          <w:color w:val="3A4A28"/>
          <w:sz w:val="20"/>
        </w:rPr>
        <w:t>Reported net insider selling of $9.74 million with zero offsetting buys in 2026, including sales by both the CEO and President/COO, which is a discouraging signal for a stock trading near multi-year highs [3]</w:t>
      </w:r>
    </w:p>
    <w:p>
      <w:pPr>
        <w:spacing w:before="40" w:after="40"/>
        <w:ind w:left="283"/>
      </w:pPr>
      <w:r>
        <w:rPr>
          <w:rFonts w:ascii="Calibri" w:hAnsi="Calibri"/>
          <w:b/>
          <w:color w:val="4A6B25"/>
          <w:sz w:val="20"/>
        </w:rPr>
        <w:t xml:space="preserve">3. </w:t>
      </w:r>
      <w:r>
        <w:rPr>
          <w:rFonts w:ascii="Calibri" w:hAnsi="Calibri"/>
          <w:b w:val="0"/>
          <w:color w:val="3A4A28"/>
          <w:sz w:val="20"/>
        </w:rPr>
        <w:t>Glassdoor-documented resistance to technology adoption and a widening leadership-employee disconnect leave MGIC poorly positioned if AI-enabled underwriting tools compress the pricing and risk-selection advantages that have historically differentiated mortgage insurers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Mortgage insurance is fundamentally a regulated, capital-backed risk-transfer business — MGIC must hold state- and GSE-mandated capital reserves against insured risk-in-force, a structural function AI cannot replicate or disintermediate [5]. Approved-insurer status with Fannie Mae and Freddie Mac, decades of proprietary loss-experience data, and long-standing lender relationships provide real moats. However, AI-driven automated underwriting tools are increasingly used industry-wide to assess borrower risk, and over time such tools could commoditize risk selection and pricing, compressing MGIC's underwriting-judgment advantage — a real but not yet acute threat, placing the company at the lower end of the PROTECTED band. AI Opportunity (0/1): No evidence was found of MGIC generating quantifiable AI-related revenue or publicly disclosed AI-driven efficiency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MGIC Investment Q2 2026 Earnings Release and StockStory/Yahoo Finance Q2 CY2026 coverage, August 2026</w:t>
      </w:r>
    </w:p>
    <w:p>
      <w:pPr>
        <w:spacing w:before="20" w:after="20"/>
        <w:ind w:left="170"/>
      </w:pPr>
      <w:r>
        <w:rPr>
          <w:rFonts w:ascii="Calibri" w:hAnsi="Calibri"/>
          <w:b/>
          <w:color w:val="4A6B25"/>
          <w:sz w:val="15"/>
        </w:rPr>
        <w:t xml:space="preserve">2. </w:t>
      </w:r>
      <w:r>
        <w:rPr>
          <w:rFonts w:ascii="Calibri" w:hAnsi="Calibri"/>
          <w:b w:val="0"/>
          <w:color w:val="3A4A28"/>
          <w:sz w:val="17"/>
        </w:rPr>
        <w:t>MGIC Investment Glassdoor employee reviews,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MGIC company mission statement (mtg.mgic.com) and GuruFocus insider transaction reports (Mattke, Miosi),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and GuruFocus — MTG key statistics: P/E 9.64, Forward P/E 9.43, ROE 14.11-14.5%, Profit Margin 59.6-60.8%, D/E 0.13, dividend yield 2.05-2.21%, payout ratio 17.21%, 5yr dividend growth CAGR 19.3%,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MGIC Investment revenue history (stockanalysis.com financials), FY2021-2025,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