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MTH</w:t>
      </w:r>
      <w:r>
        <w:rPr>
          <w:rFonts w:ascii="Calibri" w:hAnsi="Calibri"/>
          <w:b/>
          <w:color w:val="1A2010"/>
          <w:sz w:val="40"/>
        </w:rPr>
        <w:t xml:space="preserve">  Meritage Homes Corporation</w:t>
      </w:r>
    </w:p>
    <w:p>
      <w:pPr>
        <w:spacing w:after="120"/>
      </w:pPr>
      <w:r>
        <w:rPr>
          <w:rFonts w:ascii="Calibri" w:hAnsi="Calibri"/>
          <w:b/>
          <w:color w:val="6E8450"/>
          <w:sz w:val="18"/>
        </w:rPr>
        <w:t>DIVIDEND SLEEVE · 2026-10-01 · Inspire: 58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Homebuilding · NYSE · United States</w:t>
      </w:r>
    </w:p>
    <w:p>
      <w:pPr>
        <w:spacing w:after="80"/>
      </w:pPr>
      <w:r>
        <w:rPr>
          <w:rFonts w:ascii="Calibri" w:hAnsi="Calibri"/>
          <w:b w:val="0"/>
          <w:color w:val="3A4A28"/>
          <w:sz w:val="20"/>
        </w:rPr>
        <w:t>Meritage Homes Corporation is one of the largest public homebuilders in the United States, designing and building energy-efficient single-family homes for entry-level, first move-up, and active adult (55+) buyers. The company operates across Sun Belt markets including Arizona, Texas, Florida, Colorado, Georgia, and the Carolinas. A ten-time EPA ENERGY STAR Partner of the Year for Sustained Excellence, Meritage is an industry leader in energy-efficient construction. Founded in 1985 and headquartered in Scottsdale, Arizona.</w:t>
      </w:r>
    </w:p>
    <w:p>
      <w:r>
        <w:rPr>
          <w:rFonts w:ascii="Calibri" w:hAnsi="Calibri"/>
          <w:b/>
          <w:color w:val="6E8450"/>
          <w:sz w:val="18"/>
        </w:rPr>
        <w:t>4,500 Employees · https://www.meritagehomes.com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Meritage executed a significant strategic repositioning over the last 5 years, shifting from higher-end homes to entry-level and first-time buyers where affordability and volume drive returns. The company also became the first national homebuilder to make 100% of its homes ENERGY STAR certified, winning the EPA ENERGY STAR Partner of the Year for Sustained Excellence 10 times since 2013 — a distinctive competitive advantage that reduces buyers' total cost of ownership [5][6]. AI Deployment (0/2): No evidence of AI-powered products shipping or quantified AI-driven cost savings in construction, design, or sales processes. Market Share (1/2): Meritage is a top-10 US homebuilder by revenue with ~$6B+ annual closings, maintaining strong positions in high-growth Sun Belt markets including Arizona, Texas, and Florida [1][2]. However, it is not the category leader and faces intense competition from D.R. Horton, Lennar, and NVR. Product Pipeline (0/2): No specific next-generation products announced; the company's innovation comes through incremental design improvements and energy efficiency features rather than transformative new offerings. Q2 2026 guidance shows closings and revenue ~5% below 2025 [2]. R&amp;D Intensity (0/1): Homebuilders do not typically have formal R&amp;D budgets; innovation occurs through construction processes, energy efficiency features, and design optimization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Meritage's mission 'to design and build energy-efficient, quality homes that deliver superior value and a better living experience for first-time, move-up, and active adult buyers' is clear, specific, and connects to the meaningful purpose of making sustainable home ownership accessible [5]. The energy efficiency focus differentiates from peers and the 10x EPA ENERGY STAR award validates execution. However, the mission is functional rather than visionary — it describes what the company does well, not a transcendent vision of the future. Community Impact (1/2): Meritage has published four annual ESG reports documenting sustainability initiatives, delivered 13,308+ ENERGY STAR certified homes reducing environmental impact, and committed to diversity, equity, and inclusion programs [4]. The environmental contribution through energy-efficient housing is substantial and measurable, though specific charitable dollar amounts or foundation programs were not identified. Employee Retention (1/2): Executive Chairman Steven Hilton's 35-year tenure leading Meritage through multiple housing cycles (including the 2008 financial crisis) and the smooth CEO transition to Phillippe Lord in 2021 demonstrate exceptional leadership continuity [3]. The 41% female executive team shows genuine diversity commitment. Employees describe a culture where 'trust and value are placed in every role, regardless of title' [3]. Insider Buying (0/2): No specific net insider buying data identified for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Meritage maintains a conservative balance sheet with D/E of 37.7%, well below the 70% target, supported by $766.6M cash against $1.90B total debt [1][7]. Forward P/E of 10.71 is deeply discounted below the 20 target following a 14% stock price decline from August. Payout ratio of ~25.5% is well below the 40% target, reflecting strong dividend coverage. Dividend history is solid with consistent annual payments of $1.92/share (now yielding 3.06%) and multi-year growth at 12% 5-year CAGR. However, H1 2026 performance was weak: home closing revenue declined 16% to $2.50B, net earnings fell 46% to $145.9M, and gross margins compressed from 21.1% to 17.5-18.3% due to volatile interest rates and incentive costs [1][2]. ROE of 6.38% is significantly below the 15% target, and profit margin of 6.1% reflects cyclical pressure. Five-year revenue CAGR of ~3.5% underperforms the 10% target.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Meritage Homes operates with a mixed mindset that leans toward infinite thinking. The company's 40-year history, 35-year CEO tenure (Hilton), energy efficiency leadership validated by a decade of EPA awards, and smooth leadership transition to Lord in 2021 demonstrate genuine long-term orientation. However, the company's competitive language focuses on market position ('top-10 builder') rather than self-improvement, and the strategic pivot to entry-level homes — while smart — was market-driven rather than cause-driven. Sinek would see a company with genuine purpose but incomplete infinite game commitment.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Meritage's purpose of building energy-efficient, affordable homes connects to a genuine and enduring cause — making sustainable home ownership accessible to first-time buyers and middle-class families [5]. The 10x EPA ENERGY STAR Partner of the Year award validates decades of consistent execution against this purpose, and the decision to make 100% of homes ENERGY STAR certified demonstrates the cause shapes strategic decisions [6]. However, the cause has not been tested through crisis in a way that required genuine sacrifice — Meritage paused home construction during 2008-2009 like all builders — and the energy efficiency positioning, while genuine, also serves as a competitive differentiator that reduces buyer utility costs and drives sales.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35-year tenure of founder Steven Hilton as CEO/Chairman and the orderly succession to Phillippe Lord in 2021 demonstrate exceptional organizational stability and leadership continuity through multiple housing cycles [3]. The 41% female executive team and employee descriptions of 'trust and value placed in every role regardless of title' suggest a culture of respect and empowerment. Board commitment to innovation and sustainability culture helps weather economic storms. However, no specific retention data, voluntary turnover metrics, or evidence of extraordinary psychological safety practices were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Meritage's leadership acknowledges competitors' strengths or uses competitive pressure as motivation for self-improvement. The company's competitive positioning focuses on being a 'top-10 builder' and 'industry leader in energy efficiency' — finite framing about market position rather than learning from rivals like D.R. Horton's cost leadership or Toll Brothers' luxury market expertise.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Meritage has evolved meaningfully over its 40-year history — shifting from luxury and move-up homes to entry-level and first-time buyer focus, making energy efficiency a core competitive advantage rather than an add-on, and expanding across Sun Belt markets to reduce geographic concentration [5]. These strategic shifts demonstrate genuine adaptation to changing market conditions. However, the company has not fundamentally reinvented itself — it has always been a homebuilder, and the pivots have been incremental market repositioning rather than transformative business model changes.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Meritage's decision to make 100% of homes ENERGY STAR certified added construction cost and complexity when competitors were not required to match, representing a genuine investment in long-term differentiation over short-term margin optimization [6]. The strategic pivot to entry-level homes under Lord accepted lower average selling prices in exchange for volume and affordability positioning. Hilton's 35-year leadership through multiple housing cycles — including the catastrophic 2008-2009 downturn — demonstrates resilience and commitment. However, the company has not made a genuinely transformative bet that put significant near-term performance at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Meritage Homes offers a compelling entry point for investors seeking cyclical housing exposure with defensive characteristics. At $62.85 and a forward P/E of 10.71, the stock is priced well below the market for the current downturn — H1 2026 closings fell 16% and margins compressed 300bps to 17.5-18.3% due to volatile interest rates and elevated buyer incentives [1][2]. The balance sheet is conservative (D/E 37.7%, $766.6M cash), the dividend is well-covered at a 25.5% payout ratio now yielding 3.06%, and the company's Sun Belt focus positions it for long-term demographic tailwinds as population migration continues to Arizona, Texas, and Florida. The energy efficiency leadership (10x EPA ENERGY STAR Partner of the Year) creates a durable competitive advantage that reduces buyer total cost of ownership and will become increasingly valuable as energy codes tighten [6].</w:t>
      </w:r>
    </w:p>
    <w:p>
      <w:pPr>
        <w:spacing w:after="120"/>
      </w:pPr>
      <w:r>
        <w:rPr>
          <w:rFonts w:ascii="Calibri" w:hAnsi="Calibri"/>
          <w:b w:val="0"/>
          <w:color w:val="3A4A28"/>
          <w:sz w:val="20"/>
        </w:rPr>
        <w:t>The bear case centers on cyclical vulnerability and margin pressure. H1 2026 earnings declined 46% YoY, gross margins compressed from 21.1% to 17.5-18.3%, and management guides full-year 2026 closings and revenue ~5% below 2025, with no visibility on when interest rates will support housing demand recovery [1][2]. ROE has fallen to 7.49% — less than half the 15% target — reflecting how rapidly homebuilder returns deteriorate when the cycle turns. The entry-level buyer focus, while strategically sound in expansions, makes Meritage more vulnerable to mortgage rate sensitivity than luxury peers, as first-time buyers are most impacted by monthly payment changes. Inventories may build if the rate environment remains elevated, and the industry faces structural headwinds from affordability constraints in Sun Belt markets where home prices have outpaced wage growth over the last 5 years.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Federal Reserve rate cuts enabling mortgage rate decline below 6%, which would release pent-up housing demand particularly among entry-level and first-time buyers — Meritage's core customer segment</w:t>
      </w:r>
    </w:p>
    <w:p>
      <w:pPr>
        <w:spacing w:before="40" w:after="40"/>
        <w:ind w:left="283"/>
      </w:pPr>
      <w:r>
        <w:rPr>
          <w:rFonts w:ascii="Calibri" w:hAnsi="Calibri"/>
          <w:b/>
          <w:color w:val="4A6B25"/>
          <w:sz w:val="20"/>
        </w:rPr>
        <w:t xml:space="preserve">2. </w:t>
      </w:r>
      <w:r>
        <w:rPr>
          <w:rFonts w:ascii="Calibri" w:hAnsi="Calibri"/>
          <w:b w:val="0"/>
          <w:color w:val="3A4A28"/>
          <w:sz w:val="20"/>
        </w:rPr>
        <w:t>Continued population migration to Sun Belt markets (Arizona, Texas, Florida, Carolinas) creating sustained demand for affordable, energy-efficient new construction in Meritage's core geographies</w:t>
      </w:r>
    </w:p>
    <w:p>
      <w:pPr>
        <w:spacing w:before="40" w:after="40"/>
        <w:ind w:left="283"/>
      </w:pPr>
      <w:r>
        <w:rPr>
          <w:rFonts w:ascii="Calibri" w:hAnsi="Calibri"/>
          <w:b/>
          <w:color w:val="4A6B25"/>
          <w:sz w:val="20"/>
        </w:rPr>
        <w:t xml:space="preserve">3. </w:t>
      </w:r>
      <w:r>
        <w:rPr>
          <w:rFonts w:ascii="Calibri" w:hAnsi="Calibri"/>
          <w:b w:val="0"/>
          <w:color w:val="3A4A28"/>
          <w:sz w:val="20"/>
        </w:rPr>
        <w:t>Tightening energy codes and carbon regulations making Meritage's industry-leading energy efficiency a competitive moat as competitors must invest to match the 100% ENERGY STAR standard Meritage already meets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Prolonged elevated mortgage rates above 6.5% would continue to suppress housing demand and force margin-eroding incentives, with entry-level buyers being the most rate-sensitive segment of the housing market</w:t>
      </w:r>
    </w:p>
    <w:p>
      <w:pPr>
        <w:spacing w:before="40" w:after="40"/>
        <w:ind w:left="283"/>
      </w:pPr>
      <w:r>
        <w:rPr>
          <w:rFonts w:ascii="Calibri" w:hAnsi="Calibri"/>
          <w:b/>
          <w:color w:val="4A6B25"/>
          <w:sz w:val="20"/>
        </w:rPr>
        <w:t xml:space="preserve">2. </w:t>
      </w:r>
      <w:r>
        <w:rPr>
          <w:rFonts w:ascii="Calibri" w:hAnsi="Calibri"/>
          <w:b w:val="0"/>
          <w:color w:val="3A4A28"/>
          <w:sz w:val="20"/>
        </w:rPr>
        <w:t>Gross margin compression from 21.1% to 17.5-18.3% may not be the floor — further incentive escalation, land cost inflation, or labor cost pressure could push margins below 15%, threatening the dividend and return profile</w:t>
      </w:r>
    </w:p>
    <w:p>
      <w:pPr>
        <w:spacing w:before="40" w:after="40"/>
        <w:ind w:left="283"/>
      </w:pPr>
      <w:r>
        <w:rPr>
          <w:rFonts w:ascii="Calibri" w:hAnsi="Calibri"/>
          <w:b/>
          <w:color w:val="4A6B25"/>
          <w:sz w:val="20"/>
        </w:rPr>
        <w:t xml:space="preserve">3. </w:t>
      </w:r>
      <w:r>
        <w:rPr>
          <w:rFonts w:ascii="Calibri" w:hAnsi="Calibri"/>
          <w:b w:val="0"/>
          <w:color w:val="3A4A28"/>
          <w:sz w:val="20"/>
        </w:rPr>
        <w:t>Sun Belt market concentration risk: Arizona, Texas, and Florida face affordability constraints after years of price appreciation, and any slowdown in population migration or employment growth in these markets would disproportionately impact Meritage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Meritage's core business — acquiring land, obtaining permits, constructing single-family homes, and selling them to individual buyers — is structurally immune to AI disruption [1]. Physical home construction requires skilled labor (framing, electrical, plumbing, HVAC installation), on-site project management, regulatory compliance with local building codes, and land development that AI cannot substitute. The homebuilding industry is capital-intensive and highly regulated at the local level, creating structural barriers to digital disruption. AI may actually increase housing demand in Sun Belt markets as tech workers and data center operations expand into Meritage's core geographies. AI could improve construction scheduling, design optimization, and customer matching, but these are productivity enhancers, not substitution threats. AI Opportunity (0/1): No evidence of AI-generated revenue; Meritage has not announced AI-powered products or services, though the industry is beginning to explore AI for construction planning and virtual home tours.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Meritage Homes Q1 2026 Results — investors.meritagehomes.com, April 2026</w:t>
      </w:r>
    </w:p>
    <w:p>
      <w:pPr>
        <w:spacing w:before="20" w:after="20"/>
        <w:ind w:left="170"/>
      </w:pPr>
      <w:r>
        <w:rPr>
          <w:rFonts w:ascii="Calibri" w:hAnsi="Calibri"/>
          <w:b/>
          <w:color w:val="4A6B25"/>
          <w:sz w:val="15"/>
        </w:rPr>
        <w:t xml:space="preserve">2. </w:t>
      </w:r>
      <w:r>
        <w:rPr>
          <w:rFonts w:ascii="Calibri" w:hAnsi="Calibri"/>
          <w:b w:val="0"/>
          <w:color w:val="3A4A28"/>
          <w:sz w:val="17"/>
        </w:rPr>
        <w:t>Meritage Homes Q2 2026 Results — StockTitan / StockStory, July 2026</w:t>
      </w:r>
    </w:p>
    <w:p>
      <w:pPr>
        <w:spacing w:before="20" w:after="20"/>
        <w:ind w:left="170"/>
      </w:pPr>
      <w:r>
        <w:rPr>
          <w:rFonts w:ascii="Calibri" w:hAnsi="Calibri"/>
          <w:b/>
          <w:color w:val="4A6B25"/>
          <w:sz w:val="15"/>
        </w:rPr>
        <w:t xml:space="preserve">3. </w:t>
      </w:r>
      <w:r>
        <w:rPr>
          <w:rFonts w:ascii="Calibri" w:hAnsi="Calibri"/>
          <w:b w:val="0"/>
          <w:color w:val="3A4A28"/>
          <w:sz w:val="17"/>
        </w:rPr>
        <w:t>Meritage Homes Management Team and Company Culture — investors.meritagehomes.com / Glassdoor,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Meritage Homes ESG Reports (2020-2023) — investors.meritagehomes.com,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Meritage Homes Mission and Energy Efficiency — meritagehomes.com, accessed October 2026</w:t>
      </w:r>
    </w:p>
    <w:p>
      <w:pPr>
        <w:spacing w:before="20" w:after="20"/>
        <w:ind w:left="170"/>
      </w:pPr>
      <w:r>
        <w:rPr>
          <w:rFonts w:ascii="Calibri" w:hAnsi="Calibri"/>
          <w:b/>
          <w:color w:val="4A6B25"/>
          <w:sz w:val="15"/>
        </w:rPr>
        <w:t xml:space="preserve">6. </w:t>
      </w:r>
      <w:r>
        <w:rPr>
          <w:rFonts w:ascii="Calibri" w:hAnsi="Calibri"/>
          <w:b w:val="0"/>
          <w:color w:val="3A4A28"/>
          <w:sz w:val="17"/>
        </w:rPr>
        <w:t>Meritage Homes EPA ENERGY STAR Partner of the Year — meritagehomes.com, accessed October 2026</w:t>
      </w:r>
    </w:p>
    <w:p>
      <w:pPr>
        <w:spacing w:before="20" w:after="20"/>
        <w:ind w:left="170"/>
      </w:pPr>
      <w:r>
        <w:rPr>
          <w:rFonts w:ascii="Calibri" w:hAnsi="Calibri"/>
          <w:b/>
          <w:color w:val="4A6B25"/>
          <w:sz w:val="15"/>
        </w:rPr>
        <w:t xml:space="preserve">7. </w:t>
      </w:r>
      <w:r>
        <w:rPr>
          <w:rFonts w:ascii="Calibri" w:hAnsi="Calibri"/>
          <w:b w:val="0"/>
          <w:color w:val="3A4A28"/>
          <w:sz w:val="17"/>
        </w:rPr>
        <w:t>StockAnalysis / MacroTrends / Yahoo Finance — MTH Key Statistics, Dividend History,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