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MT</w:t>
      </w:r>
      <w:r>
        <w:rPr>
          <w:rFonts w:ascii="Calibri" w:hAnsi="Calibri"/>
          <w:b/>
          <w:color w:val="1A2010"/>
          <w:sz w:val="40"/>
        </w:rPr>
        <w:t xml:space="preserve">  ArcelorMittal S.A.</w:t>
      </w:r>
    </w:p>
    <w:p>
      <w:pPr>
        <w:spacing w:after="120"/>
      </w:pPr>
      <w:r>
        <w:rPr>
          <w:rFonts w:ascii="Calibri" w:hAnsi="Calibri"/>
          <w:b/>
          <w:color w:val="6E8450"/>
          <w:sz w:val="18"/>
        </w:rPr>
        <w:t>GROWTH SLEEVE · 2026-09-15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Steel · NYSE · Luxembourg</w:t>
      </w:r>
    </w:p>
    <w:p>
      <w:pPr>
        <w:spacing w:after="80"/>
      </w:pPr>
      <w:r>
        <w:rPr>
          <w:rFonts w:ascii="Calibri" w:hAnsi="Calibri"/>
          <w:b w:val="0"/>
          <w:color w:val="3A4A28"/>
          <w:sz w:val="20"/>
        </w:rPr>
        <w:t>ArcelorMittal S.A. is the world's largest steel producer, operating in over 60 countries with approximately 125,000 employees. The company produces flat and long steel products, tubular products, and mines iron ore and coking coal across Brazil, Liberia, Mexico, South Africa, India, and Canada. Under CEO Aditya Mittal, ArcelorMittal is pursuing decarbonization through EAF expansion (25% of global production) and the XCarb green steel initiative, while partnering with AWS for industrial automation and AI-driven optimization. H1 2026 revenue grew 4.9% to $32.2B, with EBITDA up 8.8% to $3.74B, though net profit declined sharply to $1.26B from $2.6B YoY [1]. The company expects world ex-China apparent steel demand to grow +2% in FY2026.</w:t>
      </w:r>
    </w:p>
    <w:p>
      <w:r>
        <w:rPr>
          <w:rFonts w:ascii="Calibri" w:hAnsi="Calibri"/>
          <w:b/>
          <w:color w:val="6E8450"/>
          <w:sz w:val="18"/>
        </w:rPr>
        <w:t>125,554 Employees · https://corporate.arcelormittal.com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ArcelorMittal has expanded EAF capacity to 25% of global production and launched XCarb green steel certificates, investing $1B+ in decarbonization since 2018 [1]. However, these are incremental improvements to traditional steelmaking, not transformative business model pivots. The delay of European green steel project FIDs due to unfavorable market conditions undermines the innovation narrative. AI Deployment (1/2): ArcelorMittal has operated a dedicated AI research team of approximately 100 people since 2004 — one of the earliest industrial AI investments [2]. AI has slashed product development timelines from up to five years to under one year and accelerated patent analysis by 10x. The company announced a strategic collaboration with AWS in June 2026 to drive industrial automation through advanced cloud, AI, and edge technologies across global operations [2]. However, specific quantified revenue gains from AI deployment have not been publicly reported. Market Share (2/2): ArcelorMittal is the world's largest steel producer by revenue ($62.8B TTM) and among the largest by production volume (55.6Mt crude steel in 2025), a category-defining global leadership position maintained across steel market cycles [1]. Product Pipeline (1/2): Recently completed and ongoing projects are expected to add $1.6B of EBITDA potential ($0.7B in 2026 and $0.9B from 2027 onward) [1]. XCarb green steel and EAF expansion provide some pipeline visibility, but European green steel FID delays create uncertainty. R&amp;D Intensity (1/1): ArcelorMittal has 12 major R&amp;D centers worldwide with over 1,400 researchers and a 100-person dedicated AI team — above average for the steel industry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ArcelorMittal's purpose is 'Smarter steels for people and planet,' connecting steel production to sustainability and global impact [3]. More thoughtful than a typical industrial mission but the delay of green steel investments when market conditions deteriorated suggests the purpose is subordinate to financial conditions, reducing credibility as a genuine guiding principle. Community Impact (1/2): The company has invested $1B+ in decarbonization since 2018, achieved significant safety improvements (50%+ reduction in fatality frequency rate), and champions the ResponsibleSteel standard with 400+ ESG requirements [3]. As a major employer of 125,000+ people globally, ArcelorMittal has significant community impact in industrial regions. Employee Retention (1/2): Glassdoor rating of 4.0/5 from nearly 5,000 reviews is above average for heavy industry, with 3.7/5 for culture and values [2]. The company's safety culture emphasis under CEO Aditya Mittal demonstrates genuine care for worker welfare with measurable KPI improvements. However, no specific retention or tenure data was identified. Insider Buying (0/2): The Mittal family (Lakshmi Mittal as Executive Chairman, Aditya Mittal as CEO) maintains controlling ownership, representing built-in alignment [3]. However, no specific recent net insider buying beyond the family's existing stake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ArcelorMittal's strengths include an exceptionally low D/E of 25.4% (well below the 70% target), an attractive forward P/E of 9.79x, and an outstanding PEG ratio of 0.42 (well below the 1.0 target, scoring 1.0 with 2x weight) [4]. However, current profitability metrics are weak: ROE of 3.28% and profit margin of 2.88% both score near zero, reflecting H1 2026 net profit compression to $1.26B from $2.6B despite revenue growth [1][4]. Revenue growth of 5.2% YoY is respectable for a cyclical steel company but below the 10% target, and the 5-year revenue CAGR is approximately -2% from the 2021-2022 commodity peak. Free cash flow turned negative (-$779M), impacted by capex investments and working capital cycles. The stock easily clears the liquidity floor at ~$110M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ArcelorMittal operates with a predominantly finite mindset. While the 'Smarter steels for people and planet' purpose and $1B+ decarbonization investment are genuine, the delay of green steel projects when market conditions deteriorated reveals financial considerations overriding purpose. The family-controlled structure (Lakshmi Mittal as Chairman, Aditya Mittal as CEO) prioritizes legacy and shareholder returns over transformative investment. Sinek would note the company's competitive language centers on being the 'largest' steel producer — finite framing about winning scale rather than advancing a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ArcelorMittal's purpose of 'Smarter steels for people and planet' connects steel production to sustainability and global impact [3]. However, the purpose was directly tested when the company delayed European green steel project FIDs, citing 'unfavorable policy and market environments.' A genuine Just Cause survives adverse conditions — Sinek would note the company invested in decarbonization when it was convenient but retreated when it became costly. The founding story is one of consolidation and scale (Lakshmi Mittal's acquisitive growth), not purpose-driven transformation.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ArcelorMittal scores well for industrial safety culture — 50%+ reduction in fatality frequency rate and consistent safety KPI improvements under Aditya Mittal's leadership [3]. Glassdoor 4.0/5 from nearly 5,000 reviews is above average for heavy industry, with 3.7/5 for culture and values [2]. For a company with 125,000 employees across 60+ countries, maintaining positive employee sentiment demonstrates organizational trust. However, the family-controlled corporate structure and top-down decision-making may limit organizational voice and empowerment at lower levels.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ArcelorMittal's competitive positioning centers on being the world's 'largest' steel producer [1]. The company's response to Chinese overcapacity is trade protection (anti-dumping duties) and cost optimization rather than learning from competitors' innovations. When Nippon Steel, POSCO, or Chinese producers demonstrate advantages, ArcelorMittal frames these as threats to counter rather than strengths to learn from. This is finite competitive thinking — the goal is to maintain the #1 position, not to get better.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ArcelorMittal has evolved through industry consolidation (separate companies to world's largest steelmaker), geographic diversification (Americas, Europe, Asia, Africa), and technology evolution (blast furnace to EAF/green steel) [1]. The current EAF expansion to 25% of production and AWS digital transformation represent meaningful strategic adaptation. However, these are incremental shifts within the same fundamental business — steel production — not transformative reinventions. The company has not abandoned a core business or entered an entirely new market.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ArcelorMittal has invested $1B+ in decarbonization, expanded EAF to 25% of production, pioneered XCarb green steel, and committed to the AWS collaboration for digital transformation [2][3]. CEO Aditya Mittal has identified decarbonization as 'the biggest challenge but also the biggest opportunity.' The $1.6B EBITDA potential from ongoing projects demonstrates long-term commitment. However, the delayed European green steel investments when tested by market conditions directly contradicts courage in Sinek's framework — courage means choosing right over easy when the cost is real.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ArcelorMittal offers deep cyclical value as the world's largest steel producer, trading at 9.79x forward earnings with an exceptional PEG of 0.42 and a fortress balance sheet (D/E 25.4%, $4.8B cash) [4]. H1 2026 demonstrated operational improvement with revenue up 4.9% to $32.2B and EBITDA up 8.8% to $3.74B, while recently completed projects are expected to add $1.6B of EBITDA potential ($0.7B in 2026, $0.9B from 2027+) [1]. The strategic collaboration with AWS for AI-driven industrial automation and edge technologies positions ArcelorMittal to capture manufacturing efficiencies across its global operations [2]. The AI infrastructure build-out theme (data centers, power grids) is creating incremental steel demand. ArcelorMittal's vertical integration (mining + steelmaking), EAF expansion to 25% of production, and XCarb green steel initiative provide differentiated positioning as customers demand lower-carbon materials [3].</w:t>
      </w:r>
    </w:p>
    <w:p>
      <w:pPr>
        <w:spacing w:after="120"/>
      </w:pPr>
      <w:r>
        <w:rPr>
          <w:rFonts w:ascii="Calibri" w:hAnsi="Calibri"/>
          <w:b w:val="0"/>
          <w:color w:val="3A4A28"/>
          <w:sz w:val="20"/>
        </w:rPr>
        <w:t>The bear case centers on commodity cyclicality, margin compression, and capital allocation concerns. H1 2026 net profit dropped sharply to $1.26B from $2.6B despite revenue growth, with profit margin at 2.88% and ROE of 3.28% reflecting the structural challenge of generating attractive returns in commodity steel [1][4]. Revenue has declined from $79.8B (2022) to $62.8B TTM, with a negative 5-year CAGR from peak. Free cash flow turned negative (-$779M), impacted by elevated capex and working capital. The delayed European green steel FIDs undermine the decarbonization thesis and raise questions about 2030 climate target achievability. Chinese steel overcapacity and global trade policy uncertainty create persistent pricing pressure. The Inspire Impact Score of 0 (MIXED) with no positive or negative attributions reflects a neutral faith-alignment profile. Dividend yield of only 0.82% provides limited income support, and the company suspended dividends in 2019-2020, demonstrating cyclical vulnerability of shareholder returns.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Steel cycle recovery with H1 2026 EBITDA up 8.8% to $3.74B and $1.6B of additional EBITDA potential from recently completed projects ($0.7B in 2026, $0.9B from 2027+), with world ex-China demand expected to grow +2% [1]</w:t>
      </w:r>
    </w:p>
    <w:p>
      <w:pPr>
        <w:spacing w:before="40" w:after="40"/>
        <w:ind w:left="283"/>
      </w:pPr>
      <w:r>
        <w:rPr>
          <w:rFonts w:ascii="Calibri" w:hAnsi="Calibri"/>
          <w:b/>
          <w:color w:val="4A6B25"/>
          <w:sz w:val="20"/>
        </w:rPr>
        <w:t xml:space="preserve">2. </w:t>
      </w:r>
      <w:r>
        <w:rPr>
          <w:rFonts w:ascii="Calibri" w:hAnsi="Calibri"/>
          <w:b w:val="0"/>
          <w:color w:val="3A4A28"/>
          <w:sz w:val="20"/>
        </w:rPr>
        <w:t>AWS strategic collaboration for AI-driven industrial automation and edge technologies across global operations, potentially driving manufacturing efficiency gains and cost optimization on 55.6Mt annual production [2]</w:t>
      </w:r>
    </w:p>
    <w:p>
      <w:pPr>
        <w:spacing w:before="40" w:after="40"/>
        <w:ind w:left="283"/>
      </w:pPr>
      <w:r>
        <w:rPr>
          <w:rFonts w:ascii="Calibri" w:hAnsi="Calibri"/>
          <w:b/>
          <w:color w:val="4A6B25"/>
          <w:sz w:val="20"/>
        </w:rPr>
        <w:t xml:space="preserve">3. </w:t>
      </w:r>
      <w:r>
        <w:rPr>
          <w:rFonts w:ascii="Calibri" w:hAnsi="Calibri"/>
          <w:b w:val="0"/>
          <w:color w:val="3A4A28"/>
          <w:sz w:val="20"/>
        </w:rPr>
        <w:t>Extreme value metrics (9.79x forward P/E, 0.42 PEG, 25.4% D/E) position MT for significant re-rating if steel pricing improves or if green steel premiums gain traction with automotive and construction customers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Severe H1 2026 profit compression — net income halved to $1.26B despite revenue growth, with 2.88% profit margin and negative free cash flow (-$779M) reflecting commodity steel's structural challenge of generating attractive returns [1][4]</w:t>
      </w:r>
    </w:p>
    <w:p>
      <w:pPr>
        <w:spacing w:before="40" w:after="40"/>
        <w:ind w:left="283"/>
      </w:pPr>
      <w:r>
        <w:rPr>
          <w:rFonts w:ascii="Calibri" w:hAnsi="Calibri"/>
          <w:b/>
          <w:color w:val="4A6B25"/>
          <w:sz w:val="20"/>
        </w:rPr>
        <w:t xml:space="preserve">2. </w:t>
      </w:r>
      <w:r>
        <w:rPr>
          <w:rFonts w:ascii="Calibri" w:hAnsi="Calibri"/>
          <w:b w:val="0"/>
          <w:color w:val="3A4A28"/>
          <w:sz w:val="20"/>
        </w:rPr>
        <w:t>Chinese steel overcapacity and global trade policy uncertainty create persistent pricing pressure, with revenue declining from $79.8B (2022) to $62.8B TTM and 5-year CAGR trending negative [1]</w:t>
      </w:r>
    </w:p>
    <w:p>
      <w:pPr>
        <w:spacing w:before="40" w:after="40"/>
        <w:ind w:left="283"/>
      </w:pPr>
      <w:r>
        <w:rPr>
          <w:rFonts w:ascii="Calibri" w:hAnsi="Calibri"/>
          <w:b/>
          <w:color w:val="4A6B25"/>
          <w:sz w:val="20"/>
        </w:rPr>
        <w:t xml:space="preserve">3. </w:t>
      </w:r>
      <w:r>
        <w:rPr>
          <w:rFonts w:ascii="Calibri" w:hAnsi="Calibri"/>
          <w:b w:val="0"/>
          <w:color w:val="3A4A28"/>
          <w:sz w:val="20"/>
        </w:rPr>
        <w:t>Delayed European green steel FIDs undermine the decarbonization investment thesis and raise questions about ArcelorMittal's commitment to achieving 2030 climate targets when the cost is real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ArcelorMittal's core business — mining iron ore, smelting steel in blast furnaces and EAFs, rolling and finishing steel products, and distributing through global logistics — is essentially immune to AI substitution [1]. Steel production requires massive physical infrastructure (blast furnaces, rolling mills, mines), complex metallurgical processes, and global supply chain operations that AI cannot replicate. AI may increase demand for steel through data center construction (AI infrastructure), grid modernization, and manufacturing expansion. ArcelorMittal's 100-person AI team and AWS collaboration demonstrate that AI enhances rather than threatens the business by optimizing production processes and accelerating product development [2]. The only risk dimension is that AI could help smaller competitors optimize more efficiently, but ArcelorMittal's scale advantages (55.6Mt production, 125,000 employees) are structural. AI Opportunity (0/1): ArcelorMittal uses AI extensively for internal operations (product development, patent analysis, process optimization via AWS collaboration) but does not generate revenue from AI products or services [2]. The AI value creation is captured through cost efficiencies and R&amp;D acceleration, not external AI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ArcelorMittal Q1 and H1 2026 Results — Revenue $32.2B H1 (+4.9%), EBITDA $3.74B (+8.8%), Net Profit $1.26B (vs $2.6B), World ex-China Demand +2%, $1.6B EBITDA Potential from Projects — ArcelorMittal IR, SEC 6-K, IndexBox, May-July 2026</w:t>
      </w:r>
    </w:p>
    <w:p>
      <w:pPr>
        <w:spacing w:before="20" w:after="20"/>
        <w:ind w:left="170"/>
      </w:pPr>
      <w:r>
        <w:rPr>
          <w:rFonts w:ascii="Calibri" w:hAnsi="Calibri"/>
          <w:b/>
          <w:color w:val="4A6B25"/>
          <w:sz w:val="15"/>
        </w:rPr>
        <w:t xml:space="preserve">2. </w:t>
      </w:r>
      <w:r>
        <w:rPr>
          <w:rFonts w:ascii="Calibri" w:hAnsi="Calibri"/>
          <w:b w:val="0"/>
          <w:color w:val="3A4A28"/>
          <w:sz w:val="17"/>
        </w:rPr>
        <w:t>ArcelorMittal AI and Digital Strategy — 100-Person AI Team (est. 2004), AWS Collaboration for Industrial Automation, AI Reducing Product Dev from 5yr to &lt;1yr — AWS Press, Luxinnovation, AIX, MarketChameleon, 2026</w:t>
      </w:r>
    </w:p>
    <w:p>
      <w:pPr>
        <w:spacing w:before="20" w:after="20"/>
        <w:ind w:left="170"/>
      </w:pPr>
      <w:r>
        <w:rPr>
          <w:rFonts w:ascii="Calibri" w:hAnsi="Calibri"/>
          <w:b/>
          <w:color w:val="4A6B25"/>
          <w:sz w:val="15"/>
        </w:rPr>
        <w:t xml:space="preserve">3. </w:t>
      </w:r>
      <w:r>
        <w:rPr>
          <w:rFonts w:ascii="Calibri" w:hAnsi="Calibri"/>
          <w:b w:val="0"/>
          <w:color w:val="3A4A28"/>
          <w:sz w:val="17"/>
        </w:rPr>
        <w:t>ArcelorMittal Sustainability and ESG — $1B+ Decarbonization Investment, XCarb Green Steel, ResponsibleSteel Standard, Delayed European Green Steel FIDs, Glassdoor 4.0/5 — ArcelorMittal.com, Glassdoor,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MT Key Statistics: Forward P/E 9.79x, PEG 0.42, ROE 3.28%, Profit Margin 2.88%, D/E 25.38%, Stock Price $72.79,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