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MUR</w:t>
      </w:r>
      <w:r>
        <w:rPr>
          <w:rFonts w:ascii="Calibri" w:hAnsi="Calibri"/>
          <w:b/>
          <w:color w:val="1A2010"/>
          <w:sz w:val="40"/>
        </w:rPr>
        <w:t xml:space="preserve">  Murphy Oil Corporation</w:t>
      </w:r>
    </w:p>
    <w:p>
      <w:pPr>
        <w:spacing w:after="120"/>
      </w:pPr>
      <w:r>
        <w:rPr>
          <w:rFonts w:ascii="Calibri" w:hAnsi="Calibri"/>
          <w:b/>
          <w:color w:val="6E8450"/>
          <w:sz w:val="18"/>
        </w:rPr>
        <w:t>DIVIDEND SLEEVE · 2026-09-06 · Inspire: 34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E&amp;P · NYSE · United States</w:t>
      </w:r>
    </w:p>
    <w:p>
      <w:pPr>
        <w:spacing w:after="80"/>
      </w:pPr>
      <w:r>
        <w:rPr>
          <w:rFonts w:ascii="Calibri" w:hAnsi="Calibri"/>
          <w:b w:val="0"/>
          <w:color w:val="3A4A28"/>
          <w:sz w:val="20"/>
        </w:rPr>
        <w:t>Murphy Oil Corporation is an independent exploration and production company with operations in the United States, Canada, and internationally. The company explores for and produces crude oil, natural gas, and natural gas liquids, with key assets in the Eagle Ford Shale, Gulf of Mexico, and international operations in Vietnam and Cote d'Ivoire. Founded in 1950 and headquartered in Houston, Texas. Q2 2026 revenue surged 35.6% to $926M with net income of $232M, and the company increased CapEx guidance to $1.55B from $1.25B to advance high-impact development opportunities.</w:t>
      </w:r>
    </w:p>
    <w:p>
      <w:r>
        <w:rPr>
          <w:rFonts w:ascii="Calibri" w:hAnsi="Calibri"/>
          <w:b/>
          <w:color w:val="6E8450"/>
          <w:sz w:val="18"/>
        </w:rPr>
        <w:t>813 Employees · https://www.murphyoilcorp.com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Murphy Oil executed its 'Murphy 3.0' strategy with Q2 2026 revenue surging 35.6% to $926.3M and net income reaching $232.2M (up from $22.3M in Q2 2025), driven by higher oil prices and production execution [1][5]. The Bubale-1X oil discovery and Lac Da Vang progress in Vietnam (targeting first oil 4Q 2026) represent geographic expansion, but these are standard E&amp;P exploration activities, not transformative pivots or business model innovation [2]. AI Deployment (0/2): No AI-powered products or quantified AI-driven cost savings deployed. Murphy has conference attendance in AI for oil and gas but no shipping products or reported internal savings [2]. Market Share (0/2): Murphy Oil is a small-to-mid-cap E&amp;P with guidance of 167,000-175,000 BOEPD — a modest participant in a fragmented commodity market with no category leadership or pricing power [1]. Product Pipeline (1/2): Specific exploration targets with timelines — Lac Da Vang first oil targeted 4Q 2026, Hai Su Vang appraisal in Vietnam, Paon field development in Cote d'Ivoire, and increased CapEx to $1.55B to advance 'high-impact appraisal and development opportunities' [1][5]. R&amp;D Intensity (0/1): Standard E&amp;P capital spending; no distinctive R&amp;D investment above industry norms.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Murphy Oil's core value of 'Do Right Always' and commitment to responsible energy development are integrated into operations, with sustainability metrics weighted at 20% of annual incentive plans and ESG issues addressed at every Board meeting [3]. The company publishes annual sustainability reports aligned with SASB, TCFD, GRI, and Ipieca frameworks. The purpose is clear and connects energy production to stewardship, but it is not distinctive among E&amp;P peers. Community Impact (1/2): Named one of 'America's Most Responsible Companies' by Newsweek and recognized as 'Best Place for Working Parents' for four consecutive years (2022-2025) [3]. Maintains 35% minority representation among US employees and achieved lowest emissions intensities since 2013. Meaningful programs but without specific charitable dollar amounts. Employee Retention (1/2): With only 813 employees, Murphy operates as a lean, specialized organization. Consecutive 'Best Place for Working Parents' recognition and ESG-linked compensation suggest a culture that values employees, though no specific tenure or turnover data is available [3]. Insider Buying (0/2): No evidence of meaningful net insider buying by CEO or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Murphy Oil's balance sheet remains a standout with D/E of 44%, well below the 70% target (score 1.0), reflecting disciplined leverage management [4][6]. Forward P/E of 8.44 is deeply discounted at less than half the 20 target (score 1.0), with PEG of 0.34 signaling strong earnings recovery expectations [6]. Q2 2026 revenue surged 35.6% to $926.3M, but TTM revenue growth is 5.6% (score 0.85) [5]. TTM profitability remains depressed — ROE of 2.24% (score 0.15) and profit margin of 3.06% (score 0.15) — though Q2 2026 profit margin exceeded 25%, signaling meaningful recovery [5]. Payout ratio of ~225% on TTM earnings is unsustainable (score 0.0), but the 82 consecutive years of dividend payment since 1944 (score 1.0, 2x weight) and 5 consecutive years of growth since the 2020 reduction (score 0.5) anchor the dividend profile [4]. Estimated 5-year dividend growth CAGR of ~18% from the reduced base scores 1.0 (2x weight). Daily dollar volume of ~$58M ($31.51 x 1.84M shares) provides adequate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Murphy Oil operates with a conventional E&amp;P mindset focused on production targets, capital returns, and shareholder distributions. The Murphy 3.0 strategy prioritizes returning a minimum of 50% of adjusted free cash flow through buybacks and dividends — a hallmark of finite game thinking optimizing for near-term returns over long-term capability building. The increased CapEx guidance to $1.55B (from $1.25B) shows investment in development opportunities, but the company's purpose remains extracting hydrocarbons profitably. The 76-year operating history provides institutional stability, but strategic decisions are driven by commodity cycles rather than a Just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Murphy Oil's 'Do Right Always' value and commitment to responsible energy production are ethical commitments, not a Just Cause in Sinek's framework [3]. Strategic communications center on production targets (167-175K BOEPD), capital allocation ratios (50%+ FCF to shareholders), and exploration upside [1][5]. Leadership does not reference a higher cause that transcends the quarterly production cycle. Sinek would classify this as a company that exists to produce hydrocarbons profitably — a legitimate business but not a purpose that inspires sacrifice or endures beyond any single leader.</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With only 813 employees, Murphy operates as a lean, specialized organization recognized as a 'Best Place for Working Parents' for four consecutive years (2022-2025) [3]. Sustainability metrics at 20% of annual incentive plans and 35% minority representation show values alignment. The company achieved lowest emissions intensities since 2013 and highest water recycling volume in history [3]. However, no specific employee engagement, voluntary turnover, or cultural trust indicators are available to confirm exceptional trust beyond these recognition programs.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Murphy Oil's competitive communications focus on production volumes, cost efficiency, and exploration success — standard finite competitive framing in the E&amp;P industry [1]. No evidence of management referencing competitors' strengths as motivation for self-improvement or learning from rivals' capabilities. The E&amp;P industry is typically a finite game of reserve acquisition, production optimization, and cost competition.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Murphy Oil's most significant strategic pivot was the 2013 spin-off of Murphy USA (retail gas stations), transforming from a vertically integrated operation into a pure-play E&amp;P company [4]. International expansion into Vietnam (Lac Da Vang, Hai Su Vang) and Cote d'Ivoire (Paon, Bubale-1X) represents geographic diversification beyond legacy Gulf of Mexico and Eagle Ford [1]. The CapEx increase to $1.55B from $1.25B signals confidence in development opportunities [5]. These adaptations are meaningful but incremental — the company remains fundamentally the same E&amp;P business it has been for decades.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Murphy Oil increased CapEx guidance from $1.25B to $1.55B to 'advance high-impact appraisal and development opportunities,' committing additional capital during commodity volatility [5]. Maintaining exploration in frontier basins (Vietnam, Cote d'Ivoire) and commitment to GHG intensity reduction targets (15-20% by 2030 vs. 2019) and zero routine flaring by 2030 represent forward-thinking decisions [3]. However, the minimum 50% FCF return commitment limits capital for transformative long-term investment, and maintaining a 3.75% dividend yield while TTM payout ratio exceeds 225% prioritizes shareholder appeasement over financial prudence.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Murphy Oil delivered a dramatically improved Q2 2026 with revenue surging 35.6% to $926.3M, net income of $232.2M (up from $22.3M year-ago), and adjusted EBITDA of $592.7M (from $334.9M), driven by higher commodity prices and production execution [5]. The forward P/E of 8.44 and PEG of 0.34 signal significant forward earnings power not reflected in the depressed TTM metrics (ROE 2.24%, profit margin 3.06%) [6]. The balance sheet is strong at 44% D/E with ample liquidity, and the 3.75% dividend yield is backed by 82 consecutive years of payment since 1944 [4]. The international exploration portfolio — Lac Da Vang first oil in Vietnam targeted 4Q 2026, Hai Su Vang discovery, and Bubale-1X in Cote d'Ivoire — provides asymmetric optionality, while the CapEx increase to $1.55B from $1.25B signals management confidence in development opportunities [1][5].</w:t>
      </w:r>
    </w:p>
    <w:p>
      <w:pPr>
        <w:spacing w:after="120"/>
      </w:pPr>
      <w:r>
        <w:rPr>
          <w:rFonts w:ascii="Calibri" w:hAnsi="Calibri"/>
          <w:b w:val="0"/>
          <w:color w:val="3A4A28"/>
          <w:sz w:val="20"/>
        </w:rPr>
        <w:t>The bear case centers on fundamental commodity dependence and unsustainable capital allocation. Despite Q2 2026's profit surge, the TTM payout ratio remains ~225% — the company pays $1.40/share against depressed TTM earnings, requiring sustained commodity price recovery to cover the dividend from operating cash flows [4][6]. ROE of 2.24% and TTM profit margin of 3.06% reflect how quickly E&amp;P economics deteriorate when oil prices soften, and Q2's strength ($232M net income) may prove cyclical rather than structural. Murphy is a small E&amp;P (813 employees, ~170K BOEPD) with no competitive moat, no pricing power, and complete dependence on commodity cycles it cannot control. International exploration in Vietnam and Cote d'Ivoire carries geological, political, and execution risk with no guaranteed outcomes against $1.55B in annual CapEx [1]. EPS declined 27.5% YoY through Q1 despite revenue growth, demonstrating operational leverage works both ways in E&amp;P.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Lac Da Vang first oil in Vietnam targeted 4Q 2026, with Hai Su Vang discovery providing additional appraisal upside in an underexplored basin that could materially expand production beyond current 170K BOEPD guidance</w:t>
      </w:r>
    </w:p>
    <w:p>
      <w:pPr>
        <w:spacing w:before="40" w:after="40"/>
        <w:ind w:left="283"/>
      </w:pPr>
      <w:r>
        <w:rPr>
          <w:rFonts w:ascii="Calibri" w:hAnsi="Calibri"/>
          <w:b/>
          <w:color w:val="4A6B25"/>
          <w:sz w:val="20"/>
        </w:rPr>
        <w:t xml:space="preserve">2. </w:t>
      </w:r>
      <w:r>
        <w:rPr>
          <w:rFonts w:ascii="Calibri" w:hAnsi="Calibri"/>
          <w:b w:val="0"/>
          <w:color w:val="3A4A28"/>
          <w:sz w:val="20"/>
        </w:rPr>
        <w:t>Q2 2026's $232M net income demonstrates significant earnings recovery when commodity prices cooperate — sustained oil price strength would drive TTM metrics toward forward estimates (8.44x PE, 0.34 PEG), triggering re-rating</w:t>
      </w:r>
    </w:p>
    <w:p>
      <w:pPr>
        <w:spacing w:before="40" w:after="40"/>
        <w:ind w:left="283"/>
      </w:pPr>
      <w:r>
        <w:rPr>
          <w:rFonts w:ascii="Calibri" w:hAnsi="Calibri"/>
          <w:b/>
          <w:color w:val="4A6B25"/>
          <w:sz w:val="20"/>
        </w:rPr>
        <w:t xml:space="preserve">3. </w:t>
      </w:r>
      <w:r>
        <w:rPr>
          <w:rFonts w:ascii="Calibri" w:hAnsi="Calibri"/>
          <w:b w:val="0"/>
          <w:color w:val="3A4A28"/>
          <w:sz w:val="20"/>
        </w:rPr>
        <w:t>CapEx increase to $1.55B from $1.25B to advance 'high-impact appraisal and development opportunities' could unlock production growth and reserve additions not reflected in current valuation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TTM payout ratio of ~225% is structurally unsustainable — the $1.40 annual dividend requires sustained commodity price recovery to be covered from operating cash flows, with a dividend cut likely if oil prices soften</w:t>
      </w:r>
    </w:p>
    <w:p>
      <w:pPr>
        <w:spacing w:before="40" w:after="40"/>
        <w:ind w:left="283"/>
      </w:pPr>
      <w:r>
        <w:rPr>
          <w:rFonts w:ascii="Calibri" w:hAnsi="Calibri"/>
          <w:b/>
          <w:color w:val="4A6B25"/>
          <w:sz w:val="20"/>
        </w:rPr>
        <w:t xml:space="preserve">2. </w:t>
      </w:r>
      <w:r>
        <w:rPr>
          <w:rFonts w:ascii="Calibri" w:hAnsi="Calibri"/>
          <w:b w:val="0"/>
          <w:color w:val="3A4A28"/>
          <w:sz w:val="20"/>
        </w:rPr>
        <w:t>Complete commodity dependence with no pricing power — Q2 2026's $232M profit demonstrates upside but equally shows how rapidly earnings can compress, as evidenced by Q2 2025's $22M and prior quarters' losses</w:t>
      </w:r>
    </w:p>
    <w:p>
      <w:pPr>
        <w:spacing w:before="40" w:after="40"/>
        <w:ind w:left="283"/>
      </w:pPr>
      <w:r>
        <w:rPr>
          <w:rFonts w:ascii="Calibri" w:hAnsi="Calibri"/>
          <w:b/>
          <w:color w:val="4A6B25"/>
          <w:sz w:val="20"/>
        </w:rPr>
        <w:t xml:space="preserve">3. </w:t>
      </w:r>
      <w:r>
        <w:rPr>
          <w:rFonts w:ascii="Calibri" w:hAnsi="Calibri"/>
          <w:b w:val="0"/>
          <w:color w:val="3A4A28"/>
          <w:sz w:val="20"/>
        </w:rPr>
        <w:t>International exploration in Vietnam and Cote d'Ivoire carries significant geological, political, and execution risk against $1.55B in annual CapEx for a company with only 813 employees and no competitive moat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Murphy Oil's core business — exploring for, drilling, and producing crude oil and natural gas from deepwater Gulf of Mexico wells, Eagle Ford Shale horizontal wells, and international assets in Vietnam and Cote d'Ivoire — is fundamentally a physical-world operation that AI cannot substitute [1]. Extracting hydrocarbons requires physical infrastructure, geological expertise, regulatory compliance, and capital-intensive assets structurally immune to AI displacement. AI tools can enhance seismic interpretation, optimize drilling parameters, and improve reservoir modeling, but these are efficiency enablers, not threats. AI data center buildout increases energy demand, creating a potential tailwind for E&amp;P producers. No analyst identifies AI as a disruption risk for upstream E&amp;P. AI Opportunity (0/1): Murphy Oil generates no quantifiable revenue from AI products or services. AI is used in standard industry applications (seismic, reservoir modeling) but not as a revenue source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Murphy Oil Corporation Q1 2026 Earnings Release and 2026 Guidance — May 2026</w:t>
      </w:r>
    </w:p>
    <w:p>
      <w:pPr>
        <w:spacing w:before="20" w:after="20"/>
        <w:ind w:left="170"/>
      </w:pPr>
      <w:r>
        <w:rPr>
          <w:rFonts w:ascii="Calibri" w:hAnsi="Calibri"/>
          <w:b/>
          <w:color w:val="4A6B25"/>
          <w:sz w:val="15"/>
        </w:rPr>
        <w:t xml:space="preserve">2. </w:t>
      </w:r>
      <w:r>
        <w:rPr>
          <w:rFonts w:ascii="Calibri" w:hAnsi="Calibri"/>
          <w:b w:val="0"/>
          <w:color w:val="3A4A28"/>
          <w:sz w:val="17"/>
        </w:rPr>
        <w:t>Murphy Oil Murphy 3.0 Strategy and International Exploration Updates — SEC Form 8-K, 2026</w:t>
      </w:r>
    </w:p>
    <w:p>
      <w:pPr>
        <w:spacing w:before="20" w:after="20"/>
        <w:ind w:left="170"/>
      </w:pPr>
      <w:r>
        <w:rPr>
          <w:rFonts w:ascii="Calibri" w:hAnsi="Calibri"/>
          <w:b/>
          <w:color w:val="4A6B25"/>
          <w:sz w:val="15"/>
        </w:rPr>
        <w:t xml:space="preserve">3. </w:t>
      </w:r>
      <w:r>
        <w:rPr>
          <w:rFonts w:ascii="Calibri" w:hAnsi="Calibri"/>
          <w:b w:val="0"/>
          <w:color w:val="3A4A28"/>
          <w:sz w:val="17"/>
        </w:rPr>
        <w:t>Murphy Oil Corporation 2024-2025 Sustainability Reports and ESG Governance Framework — murphyoilcorp.com</w:t>
      </w:r>
    </w:p>
    <w:p>
      <w:pPr>
        <w:spacing w:before="20" w:after="20"/>
        <w:ind w:left="170"/>
      </w:pPr>
      <w:r>
        <w:rPr>
          <w:rFonts w:ascii="Calibri" w:hAnsi="Calibri"/>
          <w:b/>
          <w:color w:val="4A6B25"/>
          <w:sz w:val="15"/>
        </w:rPr>
        <w:t xml:space="preserve">4. </w:t>
      </w:r>
      <w:r>
        <w:rPr>
          <w:rFonts w:ascii="Calibri" w:hAnsi="Calibri"/>
          <w:b w:val="0"/>
          <w:color w:val="3A4A28"/>
          <w:sz w:val="17"/>
        </w:rPr>
        <w:t>Yahoo Finance / StockAnalysis.com — MUR Key Statistics, Dividend History,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Murphy Oil Q2 2026 Results — Revenue $926.3M (+35.6%), Net Income $232.2M, CapEx Guidance Increased to $1.55B — Rigzone / Simply Wall St, August 2026</w:t>
      </w:r>
    </w:p>
    <w:p>
      <w:pPr>
        <w:spacing w:before="20" w:after="20"/>
        <w:ind w:left="170"/>
      </w:pPr>
      <w:r>
        <w:rPr>
          <w:rFonts w:ascii="Calibri" w:hAnsi="Calibri"/>
          <w:b/>
          <w:color w:val="4A6B25"/>
          <w:sz w:val="15"/>
        </w:rPr>
        <w:t xml:space="preserve">6. </w:t>
      </w:r>
      <w:r>
        <w:rPr>
          <w:rFonts w:ascii="Calibri" w:hAnsi="Calibri"/>
          <w:b w:val="0"/>
          <w:color w:val="3A4A28"/>
          <w:sz w:val="17"/>
        </w:rPr>
        <w:t>Nasdaq — MUR PEG Ratio, Forward PE, and Valuation Metrics,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