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MUX</w:t>
      </w:r>
      <w:r>
        <w:rPr>
          <w:rFonts w:ascii="Calibri" w:hAnsi="Calibri"/>
          <w:b/>
          <w:color w:val="1A2010"/>
          <w:sz w:val="40"/>
        </w:rPr>
        <w:t xml:space="preserve">  McEwen Inc.</w:t>
      </w:r>
    </w:p>
    <w:p>
      <w:pPr>
        <w:spacing w:after="120"/>
      </w:pPr>
      <w:r>
        <w:rPr>
          <w:rFonts w:ascii="Calibri" w:hAnsi="Calibri"/>
          <w:b/>
          <w:color w:val="6E8450"/>
          <w:sz w:val="18"/>
        </w:rPr>
        <w:t>GROWTH SLEEVE · 2026-09-24 · Inspire: 41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Precious Metals &amp; Mining · NYSE · Canada</w:t>
      </w:r>
    </w:p>
    <w:p>
      <w:pPr>
        <w:spacing w:after="80"/>
      </w:pPr>
      <w:r>
        <w:rPr>
          <w:rFonts w:ascii="Calibri" w:hAnsi="Calibri"/>
          <w:b w:val="0"/>
          <w:color w:val="3A4A28"/>
          <w:sz w:val="20"/>
        </w:rPr>
        <w:t>McEwen Inc. (formerly McEwen Mining) explores, develops, produces, and sells gold and silver deposits in the United States, Canada, Mexico, and Argentina. The company owns 100% of the Gold Bar mine in Nevada, the Fox Complex in Ontario, and the Fenix project in Mexico, along with a 49% interest in the San Jose mine in Argentina. It also holds a significant copper development asset (Los Azules). Founded in 1979 by Rob McEwen, headquartered in Toronto, Canada. Joined the Russell 2000 Index in June 2026 with a market capitalization of approximately $1 billion.</w:t>
      </w:r>
    </w:p>
    <w:p>
      <w:r>
        <w:rPr>
          <w:rFonts w:ascii="Calibri" w:hAnsi="Calibri"/>
          <w:b/>
          <w:color w:val="6E8450"/>
          <w:sz w:val="18"/>
        </w:rPr>
        <w:t>1,981 Employees · https://www.mcewenmining.com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McEwen executed a meaningful operational turnaround from -$0.86 EPS in FY2024 to +$0.64 in FY2025, with Q1 2026 delivering $33.4M net income ($0.56/share) vs. a -$6.3M loss a year earlier [1]. Mine acquisitions including Tartan and the Fenix restart expanded the asset base. However, the core business model — exploring and mining precious metals — remains fundamentally unchanged. AI Deployment (1/2): Rob McEwen advocated for AI-driven innovation at PDAC 2026, specifically discussing automation, AI-improved process design, and robotics extending mine life, signaling active exploration of AI adoption across operations [3]. No quantified AI-driven cost savings or shipping AI products have been reported yet. Market Share (0/2): McEwen is a small-to-mid-tier gold producer at approximately 120,000 GEOs annual production, holding negligible market share in global gold production dominated by Barrick, Newmont, and Agnico Eagle. Product Pipeline (1/2): The plan to double production to 250,000-300,000 GEOs by 2030 through Fox Complex expansion (16,000 to 105,000-120,000 GEOs), Tartan development, and Los Azules copper provides specific growth targets with timelines, and the company is self-funding these projects from operating cash flow [1]. R&amp;D Intensity (0/1): Exploration spending is standard for the sector with no evidence of above-average R&amp;D intensity relative to mid-tier mining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McEwen's purpose reflects genuine intentionality rooted in Rob McEwen's vision to rehabilitate the mining industry through sustainable practices, community engagement, and shareholder-aligned leadership [6]. His $1/year salary, 15% ownership stake ($205M personal investment), and multi-decade career commitment differentiate this purpose from any mining peer — strategic decisions around self-funded growth and no-dilution philosophy clearly trace back to this vision. Community Impact (1/2): The company emphasizes community engagement and sustainable practices across Nevada, Mexico, and Argentina operations. Inspire Insight scores positively on 14 ESG dimensions including environmental risk mitigation, ethical labor practices, water conservation, and waste management, indicating meaningful community and environmental responsibility [6]. Employee Retention (1/2): Glassdoor rating of 3.5/5 with 72% of employees recommending the company is adequate for the mining sector. The company invested in formal leadership development through a multi-day Breakthrough Training program, suggesting organizational culture investment beyond the minimum. Insider Buying (2/2): Rob McEwen's 15% ownership represents $205M in total personal investment, complemented by a $1/year salary — one of the strongest insider alignment signals in any public company [4]. In July 2026, he acquired an additional 1.53M shares through a business combination, holding 9.8M shares directly and indirectly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5 of 7 growth metrics (Revenue Growth 5yr CAGR and Forward PEG unavailable). Fundamentals strengthened further through sustained gold prices above $4,700/GEO and operational ramp. D/E of 18.17% signals a near-debt-free balance sheet, far below the 70% target [5]. ROE of 13.54% approaches the 15% target, reflecting improved capital efficiency with H1 2026 revenue from 100%-owned operations surging 62% to $133.3M [1][2]. Profit margin of 32.46% well exceeds the 20% target, driven by gold prices at $4,749/GEO and production optimization [1][5]. Forward P/E of 4.72 reflects aggressive earnings estimates as gold prices sustain record highs and production ramps toward the 2030 doubling target. Revenue growth of 26.8% YoY demonstrates strong operational momentum. Liquidity check: ~1.15M avg daily volume x $18.82 = $21.6M, comfortably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McEwen demonstrates significant infinite-game qualities through Rob McEwen's extraordinary personal commitment — $1 salary, 15% ownership ($205M invested), and multi-decade involvement in gold mining since founding Goldcorp. The plan to double production by 2030 through self-funded growth reflects long-term orientation over short-term financial engineering. However, the company's infinite mindset is deeply personal to the founder without evidence of institutional depth or succession planning, and the absence of competitive humility limits the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Rob McEwen's vision of rehabilitating the mining industry through sustainable, shareholder-aligned practices is genuine, distinctive, and backed by extraordinary personal financial commitment [6]. His $205M personal investment, $1 salary, and philosophy of production growth over financial engineering differentiates McEwen from every mining peer. The Corporate Knights feature describes him as 'a captain of mining trying to rehabilitate the industry' [6]. However, this cause has not been tested through a leadership transition and remains tied to the founder rather than institutionalized.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3.5/5 with 72% recommendation rate indicates adequate but unremarkable workplace culture for the mining industry. The company invested in formal leadership development through Breakthrough Training. McEwen operates across four countries with approximately 1,981 employees, and the founder's massive personal ownership (15% alongside employees) creates shared incentive alignment [3][5]. However, specific evidence of exceptional trust, psychological safety, or standout empowerment practices is not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McEwen's recent public communications [3]. Mining companies generally frame competition in terms of asset quality, production costs, and reserve size rather than learning from rivals' strengths. McEwen's competitive positioning focuses on building toward mid-tier producer status, which is growth-oriented rather than rival-aware in the Sinek sense.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strategic expansion from gold/silver mining into copper development through the Los Azules project, the rebranding from McEwen Mining to McEwen Inc. in June 2025, and the Fox Complex expansion plan represent meaningful evolution into adjacent markets driven by energy transition and AI infrastructure demand [1]. However, these are extensions within the mining sector rather than a transformative reinvention of the business model — the company remains fundamentally a metals miner.</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Rob McEwen demonstrates exceptional leadership courage across multiple dimensions. He invested $205M of personal capital and takes a $1/year salary, putting his own wealth entirely at risk alongside shareholders [4][6]. He is self-funding growth projects from operating cash flow rather than diluting shareholders with equity issuances, even when external financing would be easier. The decision to develop Los Azules copper as an internally funded project in Argentina and the Fox Complex expansion represent willingness to accept significant short-term capital commitment for long-term capability building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McEwen Inc. is executing a dramatic turnaround: Q1 2026 delivered $33.4M net income ($0.56/share) vs. a -$6.3M loss a year earlier, with revenue surging 107% YoY to $74M from the sale of 15,572 GEOs [1]. FY2025 marked the inflection from -$0.86 to +$0.64 EPS on $197.6M revenue (up 13%), and analysts forecast 29% revenue growth for FY2026 with consensus EPS of $1.80 [2]. The company is self-funding its growth pipeline to double production by 2030 through Fox Complex expansion, Tartan development, and Los Azules copper, with limited share dilution [1]. Forward P/E of 9.5 and D/E of 19.38% offer compelling valuation with a near-pristine balance sheet. Rob McEwen's $205M personal investment and $1 salary provide extraordinary insider alignment, and the June 2026 Russell 2000 inclusion adds institutional visibility [4].</w:t>
      </w:r>
    </w:p>
    <w:p>
      <w:pPr>
        <w:spacing w:after="120"/>
      </w:pPr>
      <w:r>
        <w:rPr>
          <w:rFonts w:ascii="Calibri" w:hAnsi="Calibri"/>
          <w:b w:val="0"/>
          <w:color w:val="3A4A28"/>
          <w:sz w:val="20"/>
        </w:rPr>
        <w:t>The bear case centers on commodity price dependency — McEwen's turnaround is built on elevated gold prices above $2,500/oz, and a sustained decline below $2,000/oz would collapse the 31.4% profit margin given mining's inherent fixed-cost operational leverage [2]. The 5-year track record includes persistent losses through FY2024, suggesting profitability may be cyclical rather than structural. The ambitious plan to grow Fox Complex production from 16,000 to 105,000-120,000 GEOs by 2030 requires a 6x increase that carries significant capital expenditure and execution risk. Los Azules copper development requires significant capital deployment in Argentina, a jurisdiction with chronic political instability, currency volatility, and a history of resource nationalism. Innovation scores are weak at 3/10 — this is a commodity business with no proprietary technology, and competitive advantage rests entirely on asset quality and gold prices outside management's control. Rob McEwen is 76 years old with no disclosed succession plan, creating key-man risk for a company whose strategy and shareholder base are inseparable from its founder.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sustained above $2,500/oz combined with production ramp toward 126,000 GEOs could drive FY2026 EPS above the $1.80 analyst consensus, supporting further multiple expansion from the deeply undervalued 9.5x forward P/E</w:t>
      </w:r>
    </w:p>
    <w:p>
      <w:pPr>
        <w:spacing w:before="40" w:after="40"/>
        <w:ind w:left="283"/>
      </w:pPr>
      <w:r>
        <w:rPr>
          <w:rFonts w:ascii="Calibri" w:hAnsi="Calibri"/>
          <w:b/>
          <w:color w:val="4A6B25"/>
          <w:sz w:val="20"/>
        </w:rPr>
        <w:t xml:space="preserve">2. </w:t>
      </w:r>
      <w:r>
        <w:rPr>
          <w:rFonts w:ascii="Calibri" w:hAnsi="Calibri"/>
          <w:b w:val="0"/>
          <w:color w:val="3A4A28"/>
          <w:sz w:val="20"/>
        </w:rPr>
        <w:t>Los Azules copper project advancement toward feasibility study completion could crystallize significant NAV upside as AI-driven copper demand accelerates global data center construction and electrification</w:t>
      </w:r>
    </w:p>
    <w:p>
      <w:pPr>
        <w:spacing w:before="40" w:after="40"/>
        <w:ind w:left="283"/>
      </w:pPr>
      <w:r>
        <w:rPr>
          <w:rFonts w:ascii="Calibri" w:hAnsi="Calibri"/>
          <w:b/>
          <w:color w:val="4A6B25"/>
          <w:sz w:val="20"/>
        </w:rPr>
        <w:t xml:space="preserve">3. </w:t>
      </w:r>
      <w:r>
        <w:rPr>
          <w:rFonts w:ascii="Calibri" w:hAnsi="Calibri"/>
          <w:b w:val="0"/>
          <w:color w:val="3A4A28"/>
          <w:sz w:val="20"/>
        </w:rPr>
        <w:t>Russell 2000 Index inclusion in June 2026 increases institutional visibility and passive fund buying, providing a structural demand tailwind at a time when gold miners are attracting renewed generalist investor interest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decline below $2,000/oz would rapidly erode the 31.4% profit margin and could return the company to operating losses, given the fixed-cost operational leverage inherent in mining economics and historically volatile earnings (-$44M loss in 2024, +$34M profit in 2025)</w:t>
      </w:r>
    </w:p>
    <w:p>
      <w:pPr>
        <w:spacing w:before="40" w:after="40"/>
        <w:ind w:left="283"/>
      </w:pPr>
      <w:r>
        <w:rPr>
          <w:rFonts w:ascii="Calibri" w:hAnsi="Calibri"/>
          <w:b/>
          <w:color w:val="4A6B25"/>
          <w:sz w:val="20"/>
        </w:rPr>
        <w:t xml:space="preserve">2. </w:t>
      </w:r>
      <w:r>
        <w:rPr>
          <w:rFonts w:ascii="Calibri" w:hAnsi="Calibri"/>
          <w:b w:val="0"/>
          <w:color w:val="3A4A28"/>
          <w:sz w:val="20"/>
        </w:rPr>
        <w:t>Fox Complex expansion from 16,000 to 105,000-120,000 GEOs by 2030 requires a 6x production increase with significant capital expenditure, permitting, and construction risk in Ontario, Canada</w:t>
      </w:r>
    </w:p>
    <w:p>
      <w:pPr>
        <w:spacing w:before="40" w:after="40"/>
        <w:ind w:left="283"/>
      </w:pPr>
      <w:r>
        <w:rPr>
          <w:rFonts w:ascii="Calibri" w:hAnsi="Calibri"/>
          <w:b/>
          <w:color w:val="4A6B25"/>
          <w:sz w:val="20"/>
        </w:rPr>
        <w:t xml:space="preserve">3. </w:t>
      </w:r>
      <w:r>
        <w:rPr>
          <w:rFonts w:ascii="Calibri" w:hAnsi="Calibri"/>
          <w:b w:val="0"/>
          <w:color w:val="3A4A28"/>
          <w:sz w:val="20"/>
        </w:rPr>
        <w:t>Key-man risk with 76-year-old founder Rob McEwen serving as Chairman and CEO with no disclosed succession plan — the company's identity, strategy, $205M personal capital commitment, and shareholder base are deeply tied to his personal brand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silver, and copper mining is structurally immune to AI disruption — the business requires physical extraction of minerals through underground and open-pit operations, geological exploration, chemical processing, environmental remediation, and community engagement that AI fundamentally cannot replicate or substitute [3]. Gold demand is driven by monetary policy, inflation hedging, central bank reserves, and jewelry/industrial consumption — none affected by AI. AI infrastructure buildout actually increases demand for copper (data centers, semiconductors), creating direct tailwinds for McEwen's Los Azules project [1]. No analyst coverage identifies any AI substitution risk for physical mining operations. AI can improve mining efficiency through process optimization, autonomous equipment, and geological modeling, making it a net enabler rather than threat. AI Opportunity (0/1): McEwen does not generate any quantifiable AI-specific revenue. While the company's future copper production may benefit from AI-driven demand for data center infrastructure, and Rob McEwen has advocated for AI adoption at PDAC 2026 [3], this represents indirect macro tailwinds and operational aspiration rather than measurable AI revenue today.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McEwen Inc. Q1 2026 Earnings Release — Net Income $33.4M, Revenue $74M, 107% YoY Growth, May 2026</w:t>
      </w:r>
    </w:p>
    <w:p>
      <w:pPr>
        <w:spacing w:before="20" w:after="20"/>
        <w:ind w:left="170"/>
      </w:pPr>
      <w:r>
        <w:rPr>
          <w:rFonts w:ascii="Calibri" w:hAnsi="Calibri"/>
          <w:b/>
          <w:color w:val="4A6B25"/>
          <w:sz w:val="15"/>
        </w:rPr>
        <w:t xml:space="preserve">2. </w:t>
      </w:r>
      <w:r>
        <w:rPr>
          <w:rFonts w:ascii="Calibri" w:hAnsi="Calibri"/>
          <w:b w:val="0"/>
          <w:color w:val="3A4A28"/>
          <w:sz w:val="17"/>
        </w:rPr>
        <w:t>McEwen Inc. FY2025 Annual Results — Revenue $197.6M (up 13%), EPS $0.64, 2025</w:t>
      </w:r>
    </w:p>
    <w:p>
      <w:pPr>
        <w:spacing w:before="20" w:after="20"/>
        <w:ind w:left="170"/>
      </w:pPr>
      <w:r>
        <w:rPr>
          <w:rFonts w:ascii="Calibri" w:hAnsi="Calibri"/>
          <w:b/>
          <w:color w:val="4A6B25"/>
          <w:sz w:val="15"/>
        </w:rPr>
        <w:t xml:space="preserve">3. </w:t>
      </w:r>
      <w:r>
        <w:rPr>
          <w:rFonts w:ascii="Calibri" w:hAnsi="Calibri"/>
          <w:b w:val="0"/>
          <w:color w:val="3A4A28"/>
          <w:sz w:val="17"/>
        </w:rPr>
        <w:t>Critical Conversations with Rob McEwen — Metal Tech News / Mining News North, July 2026; PDAC 2026 Presentation</w:t>
      </w:r>
    </w:p>
    <w:p>
      <w:pPr>
        <w:spacing w:before="20" w:after="20"/>
        <w:ind w:left="170"/>
      </w:pPr>
      <w:r>
        <w:rPr>
          <w:rFonts w:ascii="Calibri" w:hAnsi="Calibri"/>
          <w:b/>
          <w:color w:val="4A6B25"/>
          <w:sz w:val="15"/>
        </w:rPr>
        <w:t xml:space="preserve">4. </w:t>
      </w:r>
      <w:r>
        <w:rPr>
          <w:rFonts w:ascii="Calibri" w:hAnsi="Calibri"/>
          <w:b w:val="0"/>
          <w:color w:val="3A4A28"/>
          <w:sz w:val="17"/>
        </w:rPr>
        <w:t>McEwen Inc. SEC Form 4 — Rob McEwen Acquires 1.53M Shares, July 27,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Yahoo Finance — MUX Key Statistics and Valuation,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Corporate Knights — A Captain of Mining Tries to Rehabilitate the Industry,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