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MVST</w:t>
      </w:r>
      <w:r>
        <w:rPr>
          <w:rFonts w:ascii="Calibri" w:hAnsi="Calibri"/>
          <w:b/>
          <w:color w:val="1A2010"/>
          <w:sz w:val="40"/>
        </w:rPr>
        <w:t xml:space="preserve">  Microvast Holdings, Inc.</w:t>
      </w:r>
    </w:p>
    <w:p>
      <w:pPr>
        <w:spacing w:after="120"/>
      </w:pPr>
      <w:r>
        <w:rPr>
          <w:rFonts w:ascii="Calibri" w:hAnsi="Calibri"/>
          <w:b/>
          <w:color w:val="6E8450"/>
          <w:sz w:val="18"/>
        </w:rPr>
        <w:t>GROWTH SLEEVE · 2026-08-29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Electrical Equipment &amp; Parts · NASDAQ · United States</w:t>
      </w:r>
    </w:p>
    <w:p>
      <w:pPr>
        <w:spacing w:after="80"/>
      </w:pPr>
      <w:r>
        <w:rPr>
          <w:rFonts w:ascii="Calibri" w:hAnsi="Calibri"/>
          <w:b w:val="0"/>
          <w:color w:val="3A4A28"/>
          <w:sz w:val="20"/>
        </w:rPr>
        <w:t>Microvast Holdings, Inc. designs, develops, and manufactures battery components and systems for electric commercial vehicles and energy storage systems. The company offers a range of cell chemistries including lithium titanate oxide (LTO) and lithium iron phosphate (LFP), with manufacturing facilities in the United States (Clarksville, TN), China (Huzhou), and Germany (Ludwigsfelde). Founded in 2006, headquartered in Stafford, Texas.</w:t>
      </w:r>
    </w:p>
    <w:p>
      <w:r>
        <w:rPr>
          <w:rFonts w:ascii="Calibri" w:hAnsi="Calibri"/>
          <w:b/>
          <w:color w:val="6E8450"/>
          <w:sz w:val="18"/>
        </w:rPr>
        <w:t>1,908 Employees · https://www.microvast.com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Microvast grew FY2025 revenue 12.6% to $427.5M and expanded manufacturing across three countries (U.S., China, Germany), but H1 2026 revenue fell 28.8% YoY with Q1 at $60.6M and Q2 at $87.3M, reversing momentum despite sequential improvement [1][2][6]. Incremental product line extensions from EV batteries into energy storage rather than a transformative business model pivot. AI Deployment (0/2): Job postings indicate the company is seeking IT leadership to develop strategy emphasizing AI, data analytics, and automation, but no AI-powered products are shipping and no AI-driven savings have been quantified [3]. Market Share (0/2): With $371M TTM revenue, Microvast is a small player dwarfed by CATL, LG Energy Solution, and BYD, each generating tens of billions in annual revenue [5]. Product Pipeline (1/2): Energy storage systems expansion and new cell chemistries under development, with 2026 revenue guidance of $450M-$475M suggesting growth visibility, but specific next-gen products with launch dates are not publicly detailed [1]. R&amp;D Intensity (1/1): Significant R&amp;D investment in cell chemistry development including polyaramid separators and solid-state battery technology, reflecting above-average commitment for the sector.</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Microvast's purpose centers on advancing battery technology for cleaner transportation and energy storage — clear and connected to environmental impact, but interchangeable with dozens of battery manufacturers all pursuing identical clean energy narratives [3]. Community Impact (0/2): No evidence of significant charitable programs, foundation activity, or community investment beyond standard operations and local manufacturing employment. Employee Retention (0/2): 1,908 employees across three countries with limited public retention data. Glassdoor data from prior periods showed only 37% recommendation rate, suggesting cultural challenges persist [3]. Insider Buying (1/2): Founder-CEO Yang Wu directly owns 26.21% of shares worth approximately $105M at current prices, demonstrating significant personal alignment, though this reflects founding stake rather than recent conviction purchases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with mixed results reflecting a company in cyclical downturn. D/E ratio of 69.9% is just at the target threshold, with $326M debt against equity from investment-heavy manufacturing build-out [5]. Revenue growth 5yr CAGR of approximately 28% (2021-2025) reflects strong historical momentum [2]. However, TTM revenue declined approximately 13% to $371.6M as H1 2026 fell 28.8% YoY, though Q2 ($87.3M) showed sequential improvement from Q1 ($60.6M) with non-GAAP adjusted EBITDA of $3.6M [6]. ROE is -9.3% and profit margin is -11.5%, both scoring zero. Forward P/E is unavailable given continued losses and uncertainty around forward estimates. Liquidity floor cleared: 3.3M avg volume x $0.89 = $2.9M daily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Microvast operates with a mixed but largely finite orientation. Founder-CEO Yang Wu's 20-year commitment and 26% ownership stake provide long-term alignment, and the company's strategic expansion from EV batteries into energy storage shows adaptability. However, the business remains focused on near-term revenue targets and operational survival through a cyclical EV downturn, without an articulated Just Cause that distinguishes Microvast from dozens of peers pursuing identical clean energy battery narratives [1][3].</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Microvast pursues cleaner transportation and energy storage through advanced battery technology — a legitimate purpose but one shared identically by CATL, LG Energy, BYD, QuantumScape, and dozens of other battery companies [3]. The cause exists but is indistinguishable from industry peers, and leadership communications focus primarily on revenue targets and manufacturing expansion rather than a deeper purpose shaping strategic decisions.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Founder-CEO Yang Wu has led the company since 2006 (20 years), providing exceptional leadership continuity [3]. The 1,908-person global workforce across three countries operates manufacturing facilities requiring coordination and trust. No major cultural red flags or mass layoffs identified, but no standout evidence of exceptional employee engagement or trust practices beyond normal industrial operations.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competitive learning mindset in public communications. Management frames competition primarily in terms of its multi-chemistry platform as a differentiator rather than learning from CATL, BYD, or LG Energy Solution's strengths. The competitive narrative focuses on what Microvast does differently, not on what competitors do better.</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Microvast has evolved from a pure EV battery supplier to serving energy storage markets, expanded geographically from China to the United States and Europe, and diversified into marine electrification and specialty applications [2][3]. The Clarksville, TN manufacturing facility represents a significant strategic bet on U.S. production. These are meaningful adaptations to market opportunities, though incremental rather than transformative.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Building a U.S. manufacturing facility in Clarksville, TN while still unprofitable demonstrates willingness to invest for long-term capability at near-term cost. Management maintains ambitious 2026 revenue guidance of $450M-$475M despite a 48% Q1 revenue decline, suggesting commitment to long-term strategy [1]. However, the company's cash position ($126M against $326M debt) and ongoing losses create constraints that limit true strategic flexibility.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Microvast offers a vertically integrated battery platform spanning cell chemistry development through pack manufacturing, with a multi-chemistry approach (LTO, LFP) serving both commercial EV and energy storage markets. Full year 2025 revenue reached $427.5M with a profitability inflection, and management guides $450M-$475M for 2026 (18-25% growth), with analysts forecasting return to profitability at approximately $0.17 EPS next year [1][4]. The Clarksville, TN U.S. manufacturing facility positions the company to benefit from IRA incentives and domestic supply chain preferences, while the energy storage segment provides diversification as AI data centers drive demand for backup power systems.</w:t>
      </w:r>
    </w:p>
    <w:p>
      <w:pPr>
        <w:spacing w:after="120"/>
      </w:pPr>
      <w:r>
        <w:rPr>
          <w:rFonts w:ascii="Calibri" w:hAnsi="Calibri"/>
          <w:b w:val="0"/>
          <w:color w:val="3A4A28"/>
          <w:sz w:val="20"/>
        </w:rPr>
        <w:t>The bear case centers on sustained revenue deterioration and structural competitive disadvantage: H1 2026 revenue fell 28.8% YoY with sales volumes dropping 24.3% to 717 MWh from 947 MWh, despite Q2 showing sequential improvement to $87.3M with $3.6M adjusted EBITDA [6]. TTM revenue of $371.6M and TTM net loss of $42.8M show the company is moving backward from 2025's progress. At $0.89/share with a $298M market cap, the stock is in penny-stock territory with 69.9% D/E and $126M cash against $326M debt [5]. Competitive pressure from battery giants with orders of magnitude more scale (CATL alone produces more batteries in a month than Microvast does annually) threatens margin compression even if volume recovers.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Energy storage system revenue growth providing diversification beyond the cyclical EV market, as AI data centers and grid-scale storage drive accelerating demand for battery systems</w:t>
      </w:r>
    </w:p>
    <w:p>
      <w:pPr>
        <w:spacing w:before="40" w:after="40"/>
        <w:ind w:left="283"/>
      </w:pPr>
      <w:r>
        <w:rPr>
          <w:rFonts w:ascii="Calibri" w:hAnsi="Calibri"/>
          <w:b/>
          <w:color w:val="4A6B25"/>
          <w:sz w:val="20"/>
        </w:rPr>
        <w:t xml:space="preserve">2. </w:t>
      </w:r>
      <w:r>
        <w:rPr>
          <w:rFonts w:ascii="Calibri" w:hAnsi="Calibri"/>
          <w:b w:val="0"/>
          <w:color w:val="3A4A28"/>
          <w:sz w:val="20"/>
        </w:rPr>
        <w:t>Clarksville, TN facility production ramp benefiting from IRA manufacturing credits and growing customer preference for domestically produced battery systems</w:t>
      </w:r>
    </w:p>
    <w:p>
      <w:pPr>
        <w:spacing w:before="40" w:after="40"/>
        <w:ind w:left="283"/>
      </w:pPr>
      <w:r>
        <w:rPr>
          <w:rFonts w:ascii="Calibri" w:hAnsi="Calibri"/>
          <w:b/>
          <w:color w:val="4A6B25"/>
          <w:sz w:val="20"/>
        </w:rPr>
        <w:t xml:space="preserve">3. </w:t>
      </w:r>
      <w:r>
        <w:rPr>
          <w:rFonts w:ascii="Calibri" w:hAnsi="Calibri"/>
          <w:b w:val="0"/>
          <w:color w:val="3A4A28"/>
          <w:sz w:val="20"/>
        </w:rPr>
        <w:t>Q2 2026 sequential improvement (revenue $87.3M, positive $3.6M adjusted EBITDA) suggesting cyclical trough may be passing, with European momentum and solid-state R&amp;D advances providing differentiation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H1 2026 revenue decline of 28.8% YoY with sales volumes dropping 24.3% to 717 MWh creates demand uncertainty, despite sequential Q2 improvement to $87.3M with positive adjusted EBITDA of $3.6M [6]</w:t>
      </w:r>
    </w:p>
    <w:p>
      <w:pPr>
        <w:spacing w:before="40" w:after="40"/>
        <w:ind w:left="283"/>
      </w:pPr>
      <w:r>
        <w:rPr>
          <w:rFonts w:ascii="Calibri" w:hAnsi="Calibri"/>
          <w:b/>
          <w:color w:val="4A6B25"/>
          <w:sz w:val="20"/>
        </w:rPr>
        <w:t xml:space="preserve">2. </w:t>
      </w:r>
      <w:r>
        <w:rPr>
          <w:rFonts w:ascii="Calibri" w:hAnsi="Calibri"/>
          <w:b w:val="0"/>
          <w:color w:val="3A4A28"/>
          <w:sz w:val="20"/>
        </w:rPr>
        <w:t>Competitive pressure from battery manufacturing giants (CATL, LG Energy, BYD) with massive scale advantages that could compress margins even as Microvast's volume recovers</w:t>
      </w:r>
    </w:p>
    <w:p>
      <w:pPr>
        <w:spacing w:before="40" w:after="40"/>
        <w:ind w:left="283"/>
      </w:pPr>
      <w:r>
        <w:rPr>
          <w:rFonts w:ascii="Calibri" w:hAnsi="Calibri"/>
          <w:b/>
          <w:color w:val="4A6B25"/>
          <w:sz w:val="20"/>
        </w:rPr>
        <w:t xml:space="preserve">3. </w:t>
      </w:r>
      <w:r>
        <w:rPr>
          <w:rFonts w:ascii="Calibri" w:hAnsi="Calibri"/>
          <w:b w:val="0"/>
          <w:color w:val="3A4A28"/>
          <w:sz w:val="20"/>
        </w:rPr>
        <w:t>Balance sheet stress with $126M cash against $326M debt and ongoing operating losses, limiting strategic flexibility and creating dilution risk during an extended EV demand downturn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Battery manufacturing is a physical-world operation involving electrochemistry, materials science, and industrial manufacturing processes that AI structurally cannot replace [5]. The core business of producing lithium-ion battery cells, modules, and packs for commercial EVs and energy storage requires specialized manufacturing facilities, proprietary cell chemistries, and supply chain management of critical minerals — all beyond AI's reach. AI data centers actually increase demand for energy storage (backup power systems), making Microvast an indirect beneficiary of AI infrastructure growth rather than a victim. No analysts have flagged AI as a substitution risk for battery manufacturers. AI Opportunity (0/1): No AI-related revenue identified. The company is exploring AI for internal IT and analytics but has no commercial AI products or quantified AI-driven cost savings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Microvast Q1 2026 Financial Results — GlobeNewsWire, May 11, 2026</w:t>
      </w:r>
    </w:p>
    <w:p>
      <w:pPr>
        <w:spacing w:before="20" w:after="20"/>
        <w:ind w:left="170"/>
      </w:pPr>
      <w:r>
        <w:rPr>
          <w:rFonts w:ascii="Calibri" w:hAnsi="Calibri"/>
          <w:b/>
          <w:color w:val="4A6B25"/>
          <w:sz w:val="15"/>
        </w:rPr>
        <w:t xml:space="preserve">2. </w:t>
      </w:r>
      <w:r>
        <w:rPr>
          <w:rFonts w:ascii="Calibri" w:hAnsi="Calibri"/>
          <w:b w:val="0"/>
          <w:color w:val="3A4A28"/>
          <w:sz w:val="17"/>
        </w:rPr>
        <w:t>Microvast 2025 Annual Financial Results — Microvast IR, 2026</w:t>
      </w:r>
    </w:p>
    <w:p>
      <w:pPr>
        <w:spacing w:before="20" w:after="20"/>
        <w:ind w:left="170"/>
      </w:pPr>
      <w:r>
        <w:rPr>
          <w:rFonts w:ascii="Calibri" w:hAnsi="Calibri"/>
          <w:b/>
          <w:color w:val="4A6B25"/>
          <w:sz w:val="15"/>
        </w:rPr>
        <w:t xml:space="preserve">3. </w:t>
      </w:r>
      <w:r>
        <w:rPr>
          <w:rFonts w:ascii="Calibri" w:hAnsi="Calibri"/>
          <w:b w:val="0"/>
          <w:color w:val="3A4A28"/>
          <w:sz w:val="17"/>
        </w:rPr>
        <w:t>Microvast Leadership, Company Profile, and Strategic Initiatives — Microvast IR/CBInsights, 2026</w:t>
      </w:r>
    </w:p>
    <w:p>
      <w:pPr>
        <w:spacing w:before="20" w:after="20"/>
        <w:ind w:left="170"/>
      </w:pPr>
      <w:r>
        <w:rPr>
          <w:rFonts w:ascii="Calibri" w:hAnsi="Calibri"/>
          <w:b/>
          <w:color w:val="4A6B25"/>
          <w:sz w:val="15"/>
        </w:rPr>
        <w:t xml:space="preserve">4. </w:t>
      </w:r>
      <w:r>
        <w:rPr>
          <w:rFonts w:ascii="Calibri" w:hAnsi="Calibri"/>
          <w:b w:val="0"/>
          <w:color w:val="3A4A28"/>
          <w:sz w:val="17"/>
        </w:rPr>
        <w:t>Simply Wall St — Microvast Holdings Future Growth Analysis and EPS Forecast,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MVST Key Statistics and Financial Data, accessed August 2026</w:t>
      </w:r>
    </w:p>
    <w:p>
      <w:pPr>
        <w:spacing w:before="20" w:after="20"/>
        <w:ind w:left="170"/>
      </w:pPr>
      <w:r>
        <w:rPr>
          <w:rFonts w:ascii="Calibri" w:hAnsi="Calibri"/>
          <w:b/>
          <w:color w:val="4A6B25"/>
          <w:sz w:val="15"/>
        </w:rPr>
        <w:t xml:space="preserve">6. </w:t>
      </w:r>
      <w:r>
        <w:rPr>
          <w:rFonts w:ascii="Calibri" w:hAnsi="Calibri"/>
          <w:b w:val="0"/>
          <w:color w:val="3A4A28"/>
          <w:sz w:val="17"/>
        </w:rPr>
        <w:t>Microvast Q2 2026 Financial Results — GlobeNewsWire, August 10,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