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MXF</w:t>
      </w:r>
      <w:r>
        <w:rPr>
          <w:rFonts w:ascii="Calibri" w:hAnsi="Calibri"/>
          <w:b/>
          <w:color w:val="1A2010"/>
          <w:sz w:val="40"/>
        </w:rPr>
        <w:t xml:space="preserve">  The Mexico Fund, Inc.</w:t>
      </w:r>
    </w:p>
    <w:p>
      <w:pPr>
        <w:spacing w:after="120"/>
      </w:pPr>
      <w:r>
        <w:rPr>
          <w:rFonts w:ascii="Calibri" w:hAnsi="Calibri"/>
          <w:b/>
          <w:color w:val="6E8450"/>
          <w:sz w:val="18"/>
        </w:rPr>
        <w:t>DIVIDEND SLEEVE · 2026-10-07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The Mexico Fund, Inc. is a closed-end equity mutual fund that invests primarily in public equity markets of Mexico. Managed by Impulsora del Fondo Mexico, S.C., the fund provides U.S. investors access to Mexican equities listed on the Mexican Stock Exchange. Founded in 1981 and domiciled in Maryland, the fund trades on the NYSE at a persistent discount to NAV.</w:t>
      </w:r>
    </w:p>
    <w:p>
      <w:r>
        <w:rPr>
          <w:rFonts w:ascii="Calibri" w:hAnsi="Calibri"/>
          <w:b/>
          <w:color w:val="6E8450"/>
          <w:sz w:val="18"/>
        </w:rPr>
        <w:t>https://www.themexicofund.com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Innovation Track Record (0/3): MXF is a closed-end fund that has pursued the same single strategy — investing in Mexican public equities — since its founding in 1981 [5]. No product launches, market pivots, or business model transformations in the last 5 years or ever. AI Deployment (0/2): No AI-powered products or AI-driven cost savings; the fund employs traditional active management through its Mexico City-based adviser [1]. Market Share Leadership (0/2): MXF competes directly with iShares MSCI Mexico ETF (EWW) and other vehicles at a structural disadvantage due to higher expense ratios (1.34%) and the CEF discount to NAV [1]. Product Pipeline (0/2): No next-generation products or strategy extensions announced. R&amp;D Intensity (0/1): Not applicable to a closed-end fund structure.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The fund's stated objective is 'long-term capital appreciation through investments in securities listed on the Mexican Stock Exchange' [5] — a generic financial product description interchangeable with any country fund. No articulated purpose beyond financial returns. Community &amp; Charitable Impact (0/2): No evidence of charitable programs or community investment; the fund structure has no operational footprint. Employee Retention (0/2): Externally managed by Impulsora del Fondo Mexico with no disclosed employee metrics; CEO Alberto Osorio has been involved with the adviser since 1991, suggesting stability at the top. Insider Buying (0/2): No evidence of meaningful insider buying; no transaction data found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dollar volume of $663,892 (32,801 shares x $20.24) falls below the $1,000,000 minimum, resulting in an automatic Infrastructure score of 0 [2]. The underlying metrics are mixed: no debt (D/E null), strong ROE of 28.9% (reflecting NAV appreciation, not operating returns), and dividend yield of 6.9% with 31 consecutive years of payments [2]. However, a profit margin of 691% reflects fund accounting distortions where investment gains dwarf management fee income. The fund's $292M market cap and thin trading volume make it unsuitable for meaningful IOWN position sizing.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2</w:t>
      </w:r>
      <w:r>
        <w:rPr>
          <w:rFonts w:ascii="Calibri" w:hAnsi="Calibri"/>
          <w:b w:val="0"/>
          <w:color w:val="9DAF88"/>
          <w:sz w:val="18"/>
        </w:rPr>
        <w:t xml:space="preserve"> /10</w:t>
      </w:r>
    </w:p>
    <w:p>
      <w:pPr>
        <w:spacing w:after="120"/>
      </w:pPr>
      <w:r>
        <w:rPr>
          <w:rFonts w:ascii="Calibri" w:hAnsi="Calibri"/>
          <w:b w:val="0"/>
          <w:color w:val="3A4A28"/>
          <w:sz w:val="18"/>
        </w:rPr>
        <w:t>MXF has demonstrated remarkable longevity — 45 years of continuous operation through peso crises, political upheavals, and global financial shocks — but longevity alone does not constitute an infinite game mindset in Sinek's framework. The fund exists to generate financial returns, not to advance a cause greater than itself. The recent activist pressure from Saba Capital (8.35% stake) highlights the tension between shareholder value maximization and long-term stewardship [4]. The fund's approach is fundamentally reactive — maintaining a fixed strategy without evolving its purpose or competitive positioning.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Just Cause beyond 'long-term capital appreciation.' The fund provides a useful financial service — U.S. investor access to Mexican equities — but this is a product description, not a vision of a better future [5]. There is no articulated purpose that would survive the advent of cheaper, more efficient alternatives. The fund exists because it was created in 1981 when Mexico equity access was scarce; that scarcity no longer exists.</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Insufficient data to assess organizational trust. MXF is externally managed by a small Mexico City-based investment adviser (Impulsora del Fondo Mexico) with no public employee metrics, turnover data, or cultural assessments. CEO Alberto Osorio's 35-year tenure with the adviser suggests stability at the leadership level, but the organization is too small and opaque for meaningful trust assessment.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No evidence of an infinite competitive mindset. The fund's public materials do not address how it differentiates against iShares Mexico ETF (EWW) or other Mexican equity vehicles [5]. The competitive language, when present, focuses on fund characteristics (discount to NAV, dividend yield) rather than acknowledgment of rivals' strengths or self-improvement motivation.</w:t>
      </w:r>
    </w:p>
    <w:p>
      <w:pPr>
        <w:spacing w:before="200" w:after="40"/>
      </w:pPr>
      <w:r>
        <w:rPr>
          <w:rFonts w:ascii="Calibri" w:hAnsi="Calibri"/>
          <w:b/>
          <w:color w:val="1A2010"/>
          <w:sz w:val="22"/>
        </w:rPr>
        <w:t>Existential Flexibility</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MXF has pursued the identical strategy — actively managed Mexican equity exposure — for 45 years without meaningful adaptation [5]. No strategic pivots, no expansion into adjacent markets (e.g., broader Latin American equities), no structural innovations (e.g., conversion to an ETF to address the persistent NAV discount). The fund's rigidity is both its hallmark and its vulnerability as the closed-end fund industry faces structural decline.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CEO Alberto Osorio has maintained the fund's focus on Mexican equities through volatile periods including the 2020 pandemic, NAFTA renegotiation uncertainty, and Mexican political transitions. The fund's response to Saba Capital's activist stake — acknowledging the investment while reaffirming commitment to shareholder value — shows measured leadership but not bold courage [4]. Maintaining a consistent strategy for 45 years takes conviction, though it also risks being mistaken for inertia.</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MXF offers concentrated exposure to Mexican equities at a ~12% discount to NAV with a 6.9% dividend yield supported by 31 consecutive years of distributions [1][2]. The fund benefits from Mexico's nearshoring tailwinds as global supply chains diversify from China, driving investment into Mexican manufacturing and infrastructure. NAV returned 24.73% over the trailing year through April 2026, outperforming the broader emerging markets index [1]. Alberto Osorio's 35-year tenure with the fund adviser provides continuity and local market expertise that passive vehicles cannot replicate.</w:t>
      </w:r>
    </w:p>
    <w:p>
      <w:pPr>
        <w:spacing w:after="120"/>
      </w:pPr>
      <w:r>
        <w:rPr>
          <w:rFonts w:ascii="Calibri" w:hAnsi="Calibri"/>
          <w:b w:val="0"/>
          <w:color w:val="3A4A28"/>
          <w:sz w:val="20"/>
        </w:rPr>
        <w:t>The fund fails IOWN's liquidity floor with average daily dollar volume of just $664K, making meaningful position sizing and exit impossible without market impact [2]. The persistent NAV discount (11-12%) reflects structural issues in the closed-end fund format that management has not addressed in 45 years, while lower-cost alternatives like EWW ETF offer Mexican equity exposure at a fraction of the expense ratio [3]. Saba Capital's 8.35% activist stake creates governance uncertainty and potential for disruptive proxy fights [4]. Revenue declined 7.3% YoY, and the fund's lack of any strategic evolution or competitive response to the passive investing revolution suggests a business model in secular decline.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Mexico nearshoring tailwinds driving foreign direct investment and equity market appreciation as companies diversify manufacturing from China</w:t>
      </w:r>
    </w:p>
    <w:p>
      <w:pPr>
        <w:spacing w:before="40" w:after="40"/>
        <w:ind w:left="283"/>
      </w:pPr>
      <w:r>
        <w:rPr>
          <w:rFonts w:ascii="Calibri" w:hAnsi="Calibri"/>
          <w:b/>
          <w:color w:val="4A6B25"/>
          <w:sz w:val="20"/>
        </w:rPr>
        <w:t xml:space="preserve">2. </w:t>
      </w:r>
      <w:r>
        <w:rPr>
          <w:rFonts w:ascii="Calibri" w:hAnsi="Calibri"/>
          <w:b w:val="0"/>
          <w:color w:val="3A4A28"/>
          <w:sz w:val="20"/>
        </w:rPr>
        <w:t>Saba Capital activism (8.35% stake) could force NAV discount narrowing through share buybacks, tender offers, or structural conversion [4]</w:t>
      </w:r>
    </w:p>
    <w:p>
      <w:pPr>
        <w:spacing w:before="40" w:after="40"/>
        <w:ind w:left="283"/>
      </w:pPr>
      <w:r>
        <w:rPr>
          <w:rFonts w:ascii="Calibri" w:hAnsi="Calibri"/>
          <w:b/>
          <w:color w:val="4A6B25"/>
          <w:sz w:val="20"/>
        </w:rPr>
        <w:t xml:space="preserve">3. </w:t>
      </w:r>
      <w:r>
        <w:rPr>
          <w:rFonts w:ascii="Calibri" w:hAnsi="Calibri"/>
          <w:b w:val="0"/>
          <w:color w:val="3A4A28"/>
          <w:sz w:val="20"/>
        </w:rPr>
        <w:t>Rising quarterly dividend from $0.22 to $0.35 per share demonstrates improving capital return capacity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Daily dollar volume of $664K falls below IOWN's $1M liquidity floor, making the stock uninvestable for meaningful position sizing [2]</w:t>
      </w:r>
    </w:p>
    <w:p>
      <w:pPr>
        <w:spacing w:before="40" w:after="40"/>
        <w:ind w:left="283"/>
      </w:pPr>
      <w:r>
        <w:rPr>
          <w:rFonts w:ascii="Calibri" w:hAnsi="Calibri"/>
          <w:b/>
          <w:color w:val="4A6B25"/>
          <w:sz w:val="20"/>
        </w:rPr>
        <w:t xml:space="preserve">2. </w:t>
      </w:r>
      <w:r>
        <w:rPr>
          <w:rFonts w:ascii="Calibri" w:hAnsi="Calibri"/>
          <w:b w:val="0"/>
          <w:color w:val="3A4A28"/>
          <w:sz w:val="20"/>
        </w:rPr>
        <w:t>Persistent 11-12% NAV discount with no structural remedy after 45 years of operation reflects a broken closed-end fund model [1]</w:t>
      </w:r>
    </w:p>
    <w:p>
      <w:pPr>
        <w:spacing w:before="40" w:after="40"/>
        <w:ind w:left="283"/>
      </w:pPr>
      <w:r>
        <w:rPr>
          <w:rFonts w:ascii="Calibri" w:hAnsi="Calibri"/>
          <w:b/>
          <w:color w:val="4A6B25"/>
          <w:sz w:val="20"/>
        </w:rPr>
        <w:t xml:space="preserve">3. </w:t>
      </w:r>
      <w:r>
        <w:rPr>
          <w:rFonts w:ascii="Calibri" w:hAnsi="Calibri"/>
          <w:b w:val="0"/>
          <w:color w:val="3A4A28"/>
          <w:sz w:val="20"/>
        </w:rPr>
        <w:t>Country concentration risk: 100% Mexico exposure creates vulnerability to peso weakness, political instability, and commodity price swings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MXF's core value proposition — providing U.S. investors with managed exposure to Mexican equities — faces moderate AI disruption risk. The active management model is threatened by AI-driven quantitative strategies and the continued shift toward lower-cost passive vehicles like EWW ETF, which already offers cheaper Mexican equity exposure [3]. However, the underlying asset class (Mexican public equities) cannot be replicated by AI, and the closed-end fund structure offers unique characteristics (discount/premium dynamics, leverage capacity) that passive alternatives lack. The fund's Mexico City-based adviser provides local market expertise that AI tools cannot fully replicate. AI Opportunity (0/1): No AI-derived revenue; the fund uses traditional active management without disclosed AI or quantitative strategy components.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Mexico Fund Inc. Semi-Annual Report and Monthly NAV Reports, SEC 8-K Filings, 2026</w:t>
      </w:r>
    </w:p>
    <w:p>
      <w:pPr>
        <w:spacing w:before="20" w:after="20"/>
        <w:ind w:left="170"/>
      </w:pPr>
      <w:r>
        <w:rPr>
          <w:rFonts w:ascii="Calibri" w:hAnsi="Calibri"/>
          <w:b/>
          <w:color w:val="4A6B25"/>
          <w:sz w:val="15"/>
        </w:rPr>
        <w:t xml:space="preserve">2. </w:t>
      </w:r>
      <w:r>
        <w:rPr>
          <w:rFonts w:ascii="Calibri" w:hAnsi="Calibri"/>
          <w:b w:val="0"/>
          <w:color w:val="3A4A28"/>
          <w:sz w:val="17"/>
        </w:rPr>
        <w:t>Yahoo Finance — MXF key statistics, accessed October 2026</w:t>
      </w:r>
    </w:p>
    <w:p>
      <w:pPr>
        <w:spacing w:before="20" w:after="20"/>
        <w:ind w:left="170"/>
      </w:pPr>
      <w:r>
        <w:rPr>
          <w:rFonts w:ascii="Calibri" w:hAnsi="Calibri"/>
          <w:b/>
          <w:color w:val="4A6B25"/>
          <w:sz w:val="15"/>
        </w:rPr>
        <w:t xml:space="preserve">3. </w:t>
      </w:r>
      <w:r>
        <w:rPr>
          <w:rFonts w:ascii="Calibri" w:hAnsi="Calibri"/>
          <w:b w:val="0"/>
          <w:color w:val="3A4A28"/>
          <w:sz w:val="17"/>
        </w:rPr>
        <w:t>Seeking Alpha — 'MXF: Stellar 2025, But Possible Slowdown In 2026,' 2026</w:t>
      </w:r>
    </w:p>
    <w:p>
      <w:pPr>
        <w:spacing w:before="20" w:after="20"/>
        <w:ind w:left="170"/>
      </w:pPr>
      <w:r>
        <w:rPr>
          <w:rFonts w:ascii="Calibri" w:hAnsi="Calibri"/>
          <w:b/>
          <w:color w:val="4A6B25"/>
          <w:sz w:val="15"/>
        </w:rPr>
        <w:t xml:space="preserve">4. </w:t>
      </w:r>
      <w:r>
        <w:rPr>
          <w:rFonts w:ascii="Calibri" w:hAnsi="Calibri"/>
          <w:b w:val="0"/>
          <w:color w:val="3A4A28"/>
          <w:sz w:val="17"/>
        </w:rPr>
        <w:t>Barchart — 'The Mexico Fund Acknowledges Saba Capital Management Investment,' July 2025</w:t>
      </w:r>
    </w:p>
    <w:p>
      <w:pPr>
        <w:spacing w:before="20" w:after="20"/>
        <w:ind w:left="170"/>
      </w:pPr>
      <w:r>
        <w:rPr>
          <w:rFonts w:ascii="Calibri" w:hAnsi="Calibri"/>
          <w:b/>
          <w:color w:val="4A6B25"/>
          <w:sz w:val="15"/>
        </w:rPr>
        <w:t xml:space="preserve">5. </w:t>
      </w:r>
      <w:r>
        <w:rPr>
          <w:rFonts w:ascii="Calibri" w:hAnsi="Calibri"/>
          <w:b w:val="0"/>
          <w:color w:val="3A4A28"/>
          <w:sz w:val="17"/>
        </w:rPr>
        <w:t>The Mexico Fund, Inc. — themexicofund.com, company overview and investment objective,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