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NAVI</w:t>
      </w:r>
      <w:r>
        <w:rPr>
          <w:rFonts w:ascii="Calibri" w:hAnsi="Calibri"/>
          <w:b/>
          <w:color w:val="1A2010"/>
          <w:sz w:val="40"/>
        </w:rPr>
        <w:t xml:space="preserve">  Navient Corporation</w:t>
      </w:r>
    </w:p>
    <w:p>
      <w:pPr>
        <w:spacing w:after="120"/>
      </w:pPr>
      <w:r>
        <w:rPr>
          <w:rFonts w:ascii="Calibri" w:hAnsi="Calibri"/>
          <w:b/>
          <w:color w:val="6E8450"/>
          <w:sz w:val="18"/>
        </w:rPr>
        <w:t>DIVIDEND SLEEVE · 2026-09-30 · Inspire: 20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Credit Services · NASDAQ · United States</w:t>
      </w:r>
    </w:p>
    <w:p>
      <w:pPr>
        <w:spacing w:after="80"/>
      </w:pPr>
      <w:r>
        <w:rPr>
          <w:rFonts w:ascii="Calibri" w:hAnsi="Calibri"/>
          <w:b w:val="0"/>
          <w:color w:val="3A4A28"/>
          <w:sz w:val="20"/>
        </w:rPr>
        <w:t>Navient Corporation is a specialty finance company that originates and services private education loans and provides business processing solutions. Spun off from Sallie Mae in 2014, Navient was permanently banned by the CFPB from federal student loan servicing in 2024 and ordered to pay $120M for systemic borrower abuses. The company is now pivoting to private education lending through its Earnest platform, with originations surging 63% YoY to $815M in Q2 2026. Activist investor Edward Bramson (Sherborne Investors) was appointed CEO/Chairman in June 2026 to lead a turnaround. Market cap is approximately $850M with only 670 employees.</w:t>
      </w:r>
    </w:p>
    <w:p>
      <w:r>
        <w:rPr>
          <w:rFonts w:ascii="Calibri" w:hAnsi="Calibri"/>
          <w:b/>
          <w:color w:val="6E8450"/>
          <w:sz w:val="18"/>
        </w:rPr>
        <w:t>670 Employees · https://www.navient.com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Navient has executed a significant strategic pivot from declining federal student loan servicing to private education lending, with originations surging 63% YoY to $815M in Q2 2026 and the Earnest digital lending platform building 375,000+ customer relationships [1][2]. The business processing solutions segment adds a secondary revenue stream. This represents a genuine business model transformation forced by the CFPB's permanent ban from federal servicing. AI Deployment (0/2): No evidence of AI-powered products or quantified AI-driven cost savings; the Earnest platform is digital-first but lacks differentiated AI capabilities in underwriting or customer service [1]. Market Share (0/2): Navient is a niche player in private education lending, competing against SoFi, Sallie Mae, and traditional banks without market share leadership or demonstrated category dominance. Product Pipeline (0/2): No next-generation products announced with specific timelines; growth strategy centers on scaling existing private loan origination volumes rather than product innovation. R&amp;D Intensity (0/1): As a financial services company with 670 employees, Navient has minimal R&amp;D spend relative to fintech peers investing heavily in technology platforms.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Navient's stated purpose — helping customers navigate financial futures and succeed — is generic and interchangeable with any financial services peer, and is severely undermined by the CFPB's findings that the company systematically steered borrowers into expensive forbearances rather than explaining affordable repayment options [3]. Community Impact (0/2): No evidence of significant charitable programs or community investment beyond basic corporate compliance. Environmental initiatives are limited to office energy efficiency and paperless communications [4]. Employee Retention (0/2): With only 670 employees following aggressive headcount reductions, activist CEO appointment in June 2026, and 18% operating expense cuts, no positive retention data is available — the organization is in significant restructuring mode [1][2]. Insider Buying (1/2): Edward Bramson's Sherborne Investors holds a significant activist stake, and his appointment as CEO/Chairman in June 2026 signals meaningful personal financial commitment to the turnaround, though this is activist accumulation rather than traditional insider buying by long-tenured executives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Navient's balance sheet reflects extreme leverage characteristic of financial institutions (D/E 1,853%, scoring 0.0 against the 300% floor) with negative trailing profitability (ROE -1.98%, profit margin -14.67%, both scoring 0.0) [5]. Forward P/E of 9.4x is the strongest metric, scoring a perfect 1.0 as the market prices in deep skepticism about the turnaround [5]. Revenue declined approximately 8% YoY in Q2 2026 as the federal loan portfolio winds down (scoring 0.39), and the 5-year revenue CAGR is approximately -20% as legacy runoff dominates (scoring 0.0) [1]. Dividend consistency partially offsets: 12 consecutive years of payments since the 2014 spinoff scores 1.0 at 2x weight, but the 73% dividend cut in 2020 ($0.60 to $0.16/quarter) yields 0 consecutive years of growth and -23% 5yr CAGR (scoring 0.0 at 2x weight). The $0.64 annual dividend yields 7.1% but is funded from $340M operating cash flow rather than earnings. Liquidity floor cleared at ~$10.8M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Navient is a finite game player undergoing activist-led restructuring. The June 2026 appointment of Sherborne Investors' Edward Bramson as CEO/Chairman signals a financial engineering-driven turnaround focused on cost reduction (operating expenses down 18%), capital restructuring, and near-term shareholder returns rather than building an enduring institution [2][3]. The company's history includes a permanent CFPB ban for systematically harming borrowers — the opposite of serving a Just Cause. Strategic pivots have been compelled by regulatory action and portfolio runoff rather than purpose-driven vision.</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Navient's stated purpose of helping borrowers is fundamentally undermined by the CFPB's findings that the company systematically steered borrowers into expensive forbearances, misapplied payments, and damaged credit reports, resulting in a permanent ban from federal servicing and $120M in penalties [3]. The Bramson-led strategy focuses on 'reforming capital, cost, and corporate strategies' — explicitly finite-game language about financial optimization. No vision of a better future is articulated beyond shareholder value creation.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organization has undergone severe disruption: headcount reduced to 670 employees from historical peaks of thousands, operating expenses cut 18% YoY, previous CEO David Yowan replaced by activist investor Bramson in June 2026 [2][3]. Frequent restructuring, mass layoffs, and activist-driven leadership changes create organizational instability that is antithetical to Sinek's Circle of Safety. No evidence of employee empowerment, long tenure, or trust-building cultural practices in the current environment.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Management commentary emphasizes origination growth rates outpacing the market and cost advantages rather than learning from competitors' strengths [1][2]. The company competes against SoFi, Sallie Mae, and traditional banks without acknowledging rivals' advantages or using competitive pressure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Navient is executing a meaningful strategic pivot from legacy federal student loan servicing (permanently banned by CFPB) to private education lending through Earnest, with originations surging 63% YoY to $815M [1][3]. The addition of business processing solutions diversifies revenue. However, the pivot was compelled by regulatory action and portfolio runoff rather than driven by a Just Cause, and the company has not fundamentally reinvented itself — it remains a student loan company with a different product mix.</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sacrificing short-term results for long-term capability. The Bramson-led strategy is a classic activist playbook: cut costs (18% expense reduction), optimize capital structure, and extract near-term shareholder value [2][3]. While the pivot to private lending requires investment in origination capacity, this is a survival move rather than a courageous long-term bet. The company's history of CFPB enforcement actions for systematically harming borrowers reflects the opposite of principled leadership.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Navient at 9.4x forward earnings and 0.35x book value is a deep-value turnaround play with activist catalyst. Q2 2026 core EPS of $0.29 (+45% YoY) and private education loan originations of $815M (+63% YoY) demonstrate the strategic pivot from federal servicing to private lending is gaining traction under new CEO Edward Bramson [1][2]. Operating expenses declined 18% under the restructuring, and $340M in operating cash flow covers the $0.64 annual dividend (7.1% yield). Forward EPS consensus of $0.97 implies a rapid swing from TTM losses of -$0.48 to profitability, with the forward P/E of 9.4x pricing in minimal recovery and creating asymmetric upside if the turnaround succeeds.</w:t>
      </w:r>
    </w:p>
    <w:p>
      <w:pPr>
        <w:spacing w:after="120"/>
      </w:pPr>
      <w:r>
        <w:rPr>
          <w:rFonts w:ascii="Calibri" w:hAnsi="Calibri"/>
          <w:b w:val="0"/>
          <w:color w:val="3A4A28"/>
          <w:sz w:val="20"/>
        </w:rPr>
        <w:t>The bear case is substantial: trailing GAAP earnings remain negative (-$0.48 EPS), ROE is -1.98%, and the balance sheet carries $44.4B in debt against $796M in cash — a leverage structure (D/E 1,853%) that leaves no margin for error if credit losses spike [5]. Revenue declined 27% YoY in Q1 2026 as the federal loan portfolio runs off faster than private originations can replace it, and the 5-year revenue CAGR of approximately -20% reflects structural shrinkage. The CFPB's permanent ban and $120M settlement for systematically harming borrowers creates permanent reputational damage and ongoing regulatory scrutiny [3]. The 73% dividend cut in 2020 ($0.60 to $0.16/quarter) demonstrates unsustainable capital returns history, and the current 7.1% yield funded from operating cash flow rather than earnings is a classic value trap signal. Activist CEO Bramson's turnaround playbook focuses on financial engineering rather than building durable competitive advantages, and Earnest competes against SoFi, Sallie Mae, and incumbents with deeper pockets and stronger brands.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Private education loan originations growing 63% YoY to $815M in Q2 2026, with potential to offset federal portfolio runoff and return the company to revenue growth by mid-2027 if current trajectory holds [1]</w:t>
      </w:r>
    </w:p>
    <w:p>
      <w:pPr>
        <w:spacing w:before="40" w:after="40"/>
        <w:ind w:left="283"/>
      </w:pPr>
      <w:r>
        <w:rPr>
          <w:rFonts w:ascii="Calibri" w:hAnsi="Calibri"/>
          <w:b/>
          <w:color w:val="4A6B25"/>
          <w:sz w:val="20"/>
        </w:rPr>
        <w:t xml:space="preserve">2. </w:t>
      </w:r>
      <w:r>
        <w:rPr>
          <w:rFonts w:ascii="Calibri" w:hAnsi="Calibri"/>
          <w:b w:val="0"/>
          <w:color w:val="3A4A28"/>
          <w:sz w:val="20"/>
        </w:rPr>
        <w:t>Bramson-led cost restructuring driving 18% operating expense reduction, with further efficiency gains possible from the streamlined 670-employee operation as overhead from legacy federal servicing is eliminated [2]</w:t>
      </w:r>
    </w:p>
    <w:p>
      <w:pPr>
        <w:spacing w:before="40" w:after="40"/>
        <w:ind w:left="283"/>
      </w:pPr>
      <w:r>
        <w:rPr>
          <w:rFonts w:ascii="Calibri" w:hAnsi="Calibri"/>
          <w:b/>
          <w:color w:val="4A6B25"/>
          <w:sz w:val="20"/>
        </w:rPr>
        <w:t xml:space="preserve">3. </w:t>
      </w:r>
      <w:r>
        <w:rPr>
          <w:rFonts w:ascii="Calibri" w:hAnsi="Calibri"/>
          <w:b w:val="0"/>
          <w:color w:val="3A4A28"/>
          <w:sz w:val="20"/>
        </w:rPr>
        <w:t>Deep value entry point at 0.35x book value and 9.4x forward earnings — transition from TTM losses (-$0.48 EPS) to forward profitability ($0.97 EPS) would represent a fundamental re-rating catalyst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Structural revenue decline as legacy federal student loan portfolio winds down — Q1 2026 revenue fell 27.2% YoY, and the 5-year revenue CAGR of -20% reflects a shrinking base that private origination growth has not yet offset [1][2]</w:t>
      </w:r>
    </w:p>
    <w:p>
      <w:pPr>
        <w:spacing w:before="40" w:after="40"/>
        <w:ind w:left="283"/>
      </w:pPr>
      <w:r>
        <w:rPr>
          <w:rFonts w:ascii="Calibri" w:hAnsi="Calibri"/>
          <w:b/>
          <w:color w:val="4A6B25"/>
          <w:sz w:val="20"/>
        </w:rPr>
        <w:t xml:space="preserve">2. </w:t>
      </w:r>
      <w:r>
        <w:rPr>
          <w:rFonts w:ascii="Calibri" w:hAnsi="Calibri"/>
          <w:b w:val="0"/>
          <w:color w:val="3A4A28"/>
          <w:sz w:val="20"/>
        </w:rPr>
        <w:t>Extreme balance sheet leverage at 1,853% D/E with $44.4B in debt creates existential risk in a credit downturn; rising student loan defaults or a recession could simultaneously impair the portfolio and freeze capital markets access [5]</w:t>
      </w:r>
    </w:p>
    <w:p>
      <w:pPr>
        <w:spacing w:before="40" w:after="40"/>
        <w:ind w:left="283"/>
      </w:pPr>
      <w:r>
        <w:rPr>
          <w:rFonts w:ascii="Calibri" w:hAnsi="Calibri"/>
          <w:b/>
          <w:color w:val="4A6B25"/>
          <w:sz w:val="20"/>
        </w:rPr>
        <w:t xml:space="preserve">3. </w:t>
      </w:r>
      <w:r>
        <w:rPr>
          <w:rFonts w:ascii="Calibri" w:hAnsi="Calibri"/>
          <w:b w:val="0"/>
          <w:color w:val="3A4A28"/>
          <w:sz w:val="20"/>
        </w:rPr>
        <w:t>Permanent CFPB ban, $120M settlement, and ongoing regulatory scrutiny from systematic borrower abuses create reputational overhang that could impair Earnest's brand-building and attract additional enforcement actions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Navient's private education lending business requires actual financial capital, credit underwriting expertise, and regulatory licensing (state-by-state lending licenses, CFPB oversight) that AI cannot independently replicate [1]. Loan origination, servicing, and capital markets funding create meaningful barriers to pure-technology disruption. However, AI-powered lending platforms like Upstart and SoFi demonstrate that automated underwriting can compress margins and disintermediate traditional servicers in consumer lending. The business processing solutions segment faces higher AI exposure as document processing and administrative workflows are prime automation targets. Financial regulation provides a meaningful moat, but the lending industry is already being reshaped by technology-first competitors with superior user experiences. AI Opportunity (0/1): Navient generates no quantifiable revenue from AI products or services; the Earnest platform uses standard digital lending technology without differentiated AI capabilities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20</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Navient Q2 2026 Earnings Release — Revenue $120M, Core EPS $0.29 (+45% YoY), Originations $815M (+63%), Operating Expenses -18%, August 2026</w:t>
      </w:r>
    </w:p>
    <w:p>
      <w:pPr>
        <w:spacing w:before="20" w:after="20"/>
        <w:ind w:left="170"/>
      </w:pPr>
      <w:r>
        <w:rPr>
          <w:rFonts w:ascii="Calibri" w:hAnsi="Calibri"/>
          <w:b/>
          <w:color w:val="4A6B25"/>
          <w:sz w:val="15"/>
        </w:rPr>
        <w:t xml:space="preserve">2. </w:t>
      </w:r>
      <w:r>
        <w:rPr>
          <w:rFonts w:ascii="Calibri" w:hAnsi="Calibri"/>
          <w:b w:val="0"/>
          <w:color w:val="3A4A28"/>
          <w:sz w:val="17"/>
        </w:rPr>
        <w:t>Navient Q1 2026 Earnings Release — Revenue $142M (-27.2% YoY), GAAP EPS $0.17, Core EPS $0.20, Originations +60% YoY, April 2026</w:t>
      </w:r>
    </w:p>
    <w:p>
      <w:pPr>
        <w:spacing w:before="20" w:after="20"/>
        <w:ind w:left="170"/>
      </w:pPr>
      <w:r>
        <w:rPr>
          <w:rFonts w:ascii="Calibri" w:hAnsi="Calibri"/>
          <w:b/>
          <w:color w:val="4A6B25"/>
          <w:sz w:val="15"/>
        </w:rPr>
        <w:t xml:space="preserve">3. </w:t>
      </w:r>
      <w:r>
        <w:rPr>
          <w:rFonts w:ascii="Calibri" w:hAnsi="Calibri"/>
          <w:b w:val="0"/>
          <w:color w:val="3A4A28"/>
          <w:sz w:val="17"/>
        </w:rPr>
        <w:t>Navient Leadership and Regulatory History — Edward Bramson appointed CEO/Chairman June 2026, CFPB permanent ban and $120M penalty 2024, SEC 8-K filings 2026</w:t>
      </w:r>
    </w:p>
    <w:p>
      <w:pPr>
        <w:spacing w:before="20" w:after="20"/>
        <w:ind w:left="170"/>
      </w:pPr>
      <w:r>
        <w:rPr>
          <w:rFonts w:ascii="Calibri" w:hAnsi="Calibri"/>
          <w:b/>
          <w:color w:val="4A6B25"/>
          <w:sz w:val="15"/>
        </w:rPr>
        <w:t xml:space="preserve">4. </w:t>
      </w:r>
      <w:r>
        <w:rPr>
          <w:rFonts w:ascii="Calibri" w:hAnsi="Calibri"/>
          <w:b w:val="0"/>
          <w:color w:val="3A4A28"/>
          <w:sz w:val="17"/>
        </w:rPr>
        <w:t>Navient ESG and Corporate Governance — Environmental initiatives, proxy filings, community programs,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NAVI Key Statistics: Forward P/E 9.39x, D/E 1,853%, ROE -1.98%, Profit Margin -14.67%, Price $9.07,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