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NBIX</w:t>
      </w:r>
      <w:r>
        <w:rPr>
          <w:rFonts w:ascii="Calibri" w:hAnsi="Calibri"/>
          <w:b/>
          <w:color w:val="1A2010"/>
          <w:sz w:val="40"/>
        </w:rPr>
        <w:t xml:space="preserve">  Neurocrine Biosciences, Inc.</w:t>
      </w:r>
    </w:p>
    <w:p>
      <w:pPr>
        <w:spacing w:after="120"/>
      </w:pPr>
      <w:r>
        <w:rPr>
          <w:rFonts w:ascii="Calibri" w:hAnsi="Calibri"/>
          <w:b/>
          <w:color w:val="6E8450"/>
          <w:sz w:val="18"/>
        </w:rPr>
        <w:t>GROWTH SLEEVE · 2026-09-28 · Inspire: 48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Neurocrine Biosciences is a neuroscience-focused biopharmaceutical company that discovers, develops, and markets treatments for neurological, neuroendocrine, and neuropsychiatric disorders. Lead products include INGREZZA (valbenazine) for tardive dyskinesia, CRENESSITY (crinecerfont) for congenital adrenal hyperplasia, and VYKAT XR. The company completed the acquisition of Soleno Therapeutics in May 2026, adding DCCR for Prader-Willi syndrome. FY2025 net product sales totaled $2.83B (+22% YoY), and Q2 2026 revenue grew 39% YoY to $959M. Founded in 1992, headquartered in San Diego. Market cap approximately $14.1B.</w:t>
      </w:r>
    </w:p>
    <w:p>
      <w:r>
        <w:rPr>
          <w:rFonts w:ascii="Calibri" w:hAnsi="Calibri"/>
          <w:b/>
          <w:color w:val="6E8450"/>
          <w:sz w:val="18"/>
        </w:rPr>
        <w:t>2,800 Employees · https://www.neurocrine.com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Neurocrine successfully launched CRENESSITY (crinecerfont) for congenital adrenal hyperplasia, which reached $184M in Q2 2026 net sales — a major new revenue stream and first-in-class treatment establishing an entirely new therapeutic category [1]. Also launched VYKAT XR and completed the Soleno Therapeutics acquisition in May 2026 to expand into Prader-Willi syndrome. INGREZZA continues to grow at ~20% YoY with Q1 2026 sales of $656.9M [1][2]. AI Deployment (0/2): Hired CIO Lewis Choi (25 years AI/IT experience, formerly Thermo Fisher) in June 2025 to build an 'AI-enabled organization' with investments in training and practical adoption across functions, but no AI-powered products are shipping and no quantified AI-driven cost savings have been reported [3]. Market Share (2/2): INGREZZA is the dominant treatment for tardive dyskinesia with category-defining market share against AbbVie's AUSTEDO, and CRENESSITY is the first FDA-approved treatment specifically for congenital adrenal hyperplasia [1][2]. Product Pipeline (2/2): Specific next-gen programs include luvbaloxamide for schizophrenia (Phase 3), NBI-1065845 for MDD (Phase 2), DCCR for Prader-Willi syndrome (acquired via Soleno), and INGREZZA lifecycle extensions — all with defined clinical timelines [1][3]. R&amp;D Intensity (1/1): R&amp;D spend is substantial for a biotech company, supporting a broad neuroscience pipeline across multiple modalities and therapeutic areas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'To relieve suffering for people with great needs, but few options' is a specific, thoughtful purpose that connects directly to the company's exclusive focus on underserved neurological patients with limited treatment alternatives [3]. This mission has guided 34 years of consistent strategic focus on neuroscience rather than diversifying into more commercially attractive therapeutic areas. Falls short of level 4 because the CEO transition to Kyle Gano hasn't yet been validated through a crisis or multi-decade consistency under new leadership. Community Impact (0/2): Corporate responsibility page exists with patient access programs and standard sustainability commitments, but no evidence of distinctive charitable foundations or specific dollar amounts for community investment beyond standard industry programs [3]. Employee Retention (0/2): Company culture described as emphasizing trust, collaboration, and tolerance for experimental failure, but no publicly available data on employee tenure, voluntary turnover, or specific cultural metrics [3]. Insider Buying (0/2): Significant net insider selling in recent quarters — insiders sold approximately $62.4M in shares, reflecting routine compensation-driven liquidation rather than conviction-buying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 all metrics at or above target. D/E of 12.5% reflects a fortress balance sheet providing substantial financial flexibility for acquisitions and pipeline investment [4]. ROE of 22.09% clears the 15% target with genuine operational profitability rather than leverage-driven returns. Revenue growth is outstanding — 39.5% YoY driven by CRENESSITY launch ramp and continued INGREZZA expansion, with 5-year revenue CAGR of approximately 25% [1][2][5]. Forward P/E of 11.56 is well below the 20 target, representing an exceptional growth-at-a-reasonable-price profile. PEG ratio of approximately 0.37 (Forward P/E 11.56 / earnings growth 31.1%) is well below the 1.0 target. Profit margin of 20.91% now exceeds the 20% target, improving from 16.73% in the prior screen as CRENESSITY scales and operating leverage materializes [4]. Liquidity floor easily cleared at ~$173M daily traded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Neurocrine has maintained a consistent focus on underserved neurological patients for 34 years, reflecting genuine long-term purpose. The deliberate CEO succession plan from founder Kevin Gorman to Kyle Gano demonstrates organizational maturity. However, the company's heavy dependence on a single product (INGREZZA represents ~75% of revenue), significant insider selling, and limited publicly visible cultural distinctiveness leave questions about whether the organization is built to endure beyond its current product cycle.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'To relieve suffering for people with great needs, but few options' is a genuine, distinctive purpose that has guided 34 years of exclusive focus on neurological disorders — a therapeutic area that many larger pharma companies have abandoned due to high clinical trial failure rates and complex CNS biology [3]. Strategic decisions to remain neuroscience-focused rather than diversifying into oncology or immunology (where commercial opportunities are larger) trace directly to this cause. The CEO transition from founder Gorman to Gano was planned around preserving this focus. Falls short of 3 because the company is relatively young as a commercial-stage biotech and the cause hasn't been tested through a true existential crisis.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deliberate CEO succession — promoting Kyle Gano, who helped develop INGREZZA and CRENESSITY — and concurrent hiring of new CMO and CIO suggest organizational stability and internal talent development [3]. The company's culture emphasizes trust, collaboration, and tolerance for experimental failure, and its 34-year history with a consistent scientific focus provides cultural continuity. However, no specific data on employee tenure or voluntary turnover is publicly available.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Neurocrine competes primarily with AbbVie's AUSTEDO in tardive dyskinesia, but no evidence in management commentary of acknowledging AbbVie's strengths or framing competition as motivation for improvement [1]. Public communications focus on INGREZZA's clinical differentiation and market share defense rather than learning from competitive dynamics.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Neurocrine expanded from an INGREZZA-dependent single-product company to a multi-franchise biotech through the CRENESSITY launch (entirely new therapeutic area in endocrinology) and Soleno Therapeutics acquisition in May 2026 for Prader-Willi syndrome [1]. These moves diversify the revenue base while staying within the neuroscience/neuroendocrine expertise. The evolution is meaningful but incremental — the company has not faced a moment requiring a transformative pivot away from its core.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decision to invest heavily in CRENESSITY clinical development for congenital adrenal hyperplasia — a rare disease with a small patient population (~30,000 US patients) — rather than pursuing larger commercial opportunities demonstrates willingness to prioritize mission over maximum revenue [1][3]. The Soleno acquisition represents a meaningful capital allocation bet on rare disease. However, these decisions carry moderate risk given the company's fortress balance sheet and strong INGREZZA cash flows, limiting the true courage required.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Neurocrine Biosciences offers a rare combination of high growth at deeply discounted valuation — Q2 2026 revenue of $959M (39% YoY), Forward P/E of 11.56x, PEG of 0.37, and ROE of 22.09% on a fortress balance sheet with D/E of just 12.5% [1][4]. The profit margin has expanded to 20.91%, demonstrating operating leverage as CRENESSITY scales and INGREZZA continues growing at ~20% YoY. Management raised FY2026 INGREZZA guidance to $2,825-2,875M and completed the Soleno acquisition to add a third commercial franchise [2]. The pipeline includes luvbaloxamide for schizophrenia (Phase 3) and DCCR for Prader-Willi syndrome, providing next-generation growth catalysts beyond the current product portfolio.</w:t>
      </w:r>
    </w:p>
    <w:p>
      <w:pPr>
        <w:spacing w:after="120"/>
      </w:pPr>
      <w:r>
        <w:rPr>
          <w:rFonts w:ascii="Calibri" w:hAnsi="Calibri"/>
          <w:b w:val="0"/>
          <w:color w:val="3A4A28"/>
          <w:sz w:val="20"/>
        </w:rPr>
        <w:t>The primary risk is concentration — INGREZZA still represents approximately 75% of revenue with patent expiration approaching in the early 2030s, and any competitive threat, generic entry, or pricing pressure would have outsized impact on earnings power [1]. CRENESSITY's long-term peak sales remain uncertain as the congenital adrenal hyperplasia market is small (~30,000 US patients). The stock at $138.40 has underperformed the broader biotech index despite strong fundamentals, suggesting the market is discounting pipeline risk and the INGREZZA patent cliff [4]. Significant insider selling ($62.4M in recent quarters), while likely routine compensation-driven liquidation, creates negative optics. The Soleno acquisition adds execution risk and integration complexity for a company that has historically been an organic growth story. The Inspire Impact Score of 48 (ALIGNED) is a positive for faith-based investors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CRENESSITY commercial ramp with Q1 2026 sales of $153.3M expanding prescriber adoption in congenital adrenal hyperplasia, potentially reaching $700M+ annual run-rate and establishing a major second franchise [2]</w:t>
      </w:r>
    </w:p>
    <w:p>
      <w:pPr>
        <w:spacing w:before="40" w:after="40"/>
        <w:ind w:left="283"/>
      </w:pPr>
      <w:r>
        <w:rPr>
          <w:rFonts w:ascii="Calibri" w:hAnsi="Calibri"/>
          <w:b/>
          <w:color w:val="4A6B25"/>
          <w:sz w:val="20"/>
        </w:rPr>
        <w:t xml:space="preserve">2. </w:t>
      </w:r>
      <w:r>
        <w:rPr>
          <w:rFonts w:ascii="Calibri" w:hAnsi="Calibri"/>
          <w:b w:val="0"/>
          <w:color w:val="3A4A28"/>
          <w:sz w:val="20"/>
        </w:rPr>
        <w:t>Luvbaloxamide Phase 3 data readout for schizophrenia could transform Neurocrine into a three-franchise company with a potential blockbuster in a $10B+ market [3]</w:t>
      </w:r>
    </w:p>
    <w:p>
      <w:pPr>
        <w:spacing w:before="40" w:after="40"/>
        <w:ind w:left="283"/>
      </w:pPr>
      <w:r>
        <w:rPr>
          <w:rFonts w:ascii="Calibri" w:hAnsi="Calibri"/>
          <w:b/>
          <w:color w:val="4A6B25"/>
          <w:sz w:val="20"/>
        </w:rPr>
        <w:t xml:space="preserve">3. </w:t>
      </w:r>
      <w:r>
        <w:rPr>
          <w:rFonts w:ascii="Calibri" w:hAnsi="Calibri"/>
          <w:b w:val="0"/>
          <w:color w:val="3A4A28"/>
          <w:sz w:val="20"/>
        </w:rPr>
        <w:t>INGREZZA guidance raised to $2,825-2,875M for FY2026 with continued volume-driven growth as tardive dyskinesia awareness and diagnosis rates increase, demonstrating durable franchise strength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INGREZZA concentration risk — 75% of revenue from a single product with patent expiration approaching in the early 2030s, leaving limited time to build diversified replacement revenue streams [1]</w:t>
      </w:r>
    </w:p>
    <w:p>
      <w:pPr>
        <w:spacing w:before="40" w:after="40"/>
        <w:ind w:left="283"/>
      </w:pPr>
      <w:r>
        <w:rPr>
          <w:rFonts w:ascii="Calibri" w:hAnsi="Calibri"/>
          <w:b/>
          <w:color w:val="4A6B25"/>
          <w:sz w:val="20"/>
        </w:rPr>
        <w:t xml:space="preserve">2. </w:t>
      </w:r>
      <w:r>
        <w:rPr>
          <w:rFonts w:ascii="Calibri" w:hAnsi="Calibri"/>
          <w:b w:val="0"/>
          <w:color w:val="3A4A28"/>
          <w:sz w:val="20"/>
        </w:rPr>
        <w:t>CRENESSITY's small addressable market (~30,000 US patients with congenital adrenal hyperplasia) may cap peak sales potential and limit the product's ability to offset eventual INGREZZA revenue declines [1]</w:t>
      </w:r>
    </w:p>
    <w:p>
      <w:pPr>
        <w:spacing w:before="40" w:after="40"/>
        <w:ind w:left="283"/>
      </w:pPr>
      <w:r>
        <w:rPr>
          <w:rFonts w:ascii="Calibri" w:hAnsi="Calibri"/>
          <w:b/>
          <w:color w:val="4A6B25"/>
          <w:sz w:val="20"/>
        </w:rPr>
        <w:t xml:space="preserve">3. </w:t>
      </w:r>
      <w:r>
        <w:rPr>
          <w:rFonts w:ascii="Calibri" w:hAnsi="Calibri"/>
          <w:b w:val="0"/>
          <w:color w:val="3A4A28"/>
          <w:sz w:val="20"/>
        </w:rPr>
        <w:t>Significant insider selling of $62.4M in recent quarters and stock underperformance despite strong fundamentals suggest institutional positioning concerns around patent cliff visibility and pipeline execution risk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Neurocrine's core business — FDA-regulated drug development, clinical trials, and commercialization of neuroscience therapeutics — is structurally immune to AI disruption [1][3]. AI cannot substitute for the years-long clinical trial process, FDA approval requirements, physical drug manufacturing, or the specialized salesforce calling on neurologists and endocrinologists. The regulatory moat (10+ year exclusivity periods, complex patent estates) creates insurmountable barriers. AI may accelerate drug discovery and clinical trial design, but this benefits Neurocrine rather than threatening it — faster R&amp;D reduces costs while the commercial model remains protected. No analyst has flagged AI as a substitution risk for specialty pharma business models. AI Opportunity (0/1): No AI-generated revenue. CIO Lewis Choi's mandate to build an 'AI-enabled organization' with responsible AI usage training across functions is exploratory — no AI-powered products, services, or quantified internal cost savings have been reported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Neurocrine Biosciences Q2 2026 Earnings Release — $959M revenue (39% YoY), INGREZZA $716M, CRENESSITY $184M, raised INGREZZA guidance to $2,825-2,875M, Soleno acquisition completed May 2026, July 2026</w:t>
      </w:r>
    </w:p>
    <w:p>
      <w:pPr>
        <w:spacing w:before="20" w:after="20"/>
        <w:ind w:left="170"/>
      </w:pPr>
      <w:r>
        <w:rPr>
          <w:rFonts w:ascii="Calibri" w:hAnsi="Calibri"/>
          <w:b/>
          <w:color w:val="4A6B25"/>
          <w:sz w:val="15"/>
        </w:rPr>
        <w:t xml:space="preserve">2. </w:t>
      </w:r>
      <w:r>
        <w:rPr>
          <w:rFonts w:ascii="Calibri" w:hAnsi="Calibri"/>
          <w:b w:val="0"/>
          <w:color w:val="3A4A28"/>
          <w:sz w:val="17"/>
        </w:rPr>
        <w:t>Neurocrine Biosciences Q1 2026 and FY2025 Earnings Releases — Q1 2026 net product sales $811M (+44% YoY), INGREZZA $656.9M (+20% YoY), CRENESSITY $153.3M, FY2025 total $2.83B (+22%), February/April 2026</w:t>
      </w:r>
    </w:p>
    <w:p>
      <w:pPr>
        <w:spacing w:before="20" w:after="20"/>
        <w:ind w:left="170"/>
      </w:pPr>
      <w:r>
        <w:rPr>
          <w:rFonts w:ascii="Calibri" w:hAnsi="Calibri"/>
          <w:b/>
          <w:color w:val="4A6B25"/>
          <w:sz w:val="15"/>
        </w:rPr>
        <w:t xml:space="preserve">3. </w:t>
      </w:r>
      <w:r>
        <w:rPr>
          <w:rFonts w:ascii="Calibri" w:hAnsi="Calibri"/>
          <w:b w:val="0"/>
          <w:color w:val="3A4A28"/>
          <w:sz w:val="17"/>
        </w:rPr>
        <w:t>Neurocrine Biosciences Corporate Website — Mission, Leadership Team, Pipeline Programs, CIO Lewis Choi Appointment (June 2025), AI-enabled Organization Strategy,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StockAnalysis — NBIX Key Statistics: Forward P/E 11.56x, D/E 12.5%, ROE 22.09%, Profit Margin 20.91%, PE 20.23, Stock Price $138.40,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StockAnalysis / CompaniesMarketCap — NBIX Annual Revenue History: FY2021 $1.13B, FY2022 $1.49B, FY2023 $1.89B, FY2024 $2.36B, FY2025 $2.83B</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