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NCI</w:t>
      </w:r>
      <w:r>
        <w:rPr>
          <w:rFonts w:ascii="Calibri" w:hAnsi="Calibri"/>
          <w:b/>
          <w:color w:val="1A2010"/>
          <w:sz w:val="40"/>
        </w:rPr>
        <w:t xml:space="preserve">  Neo-Concept International Group Holdings Limited</w:t>
      </w:r>
    </w:p>
    <w:p>
      <w:pPr>
        <w:spacing w:after="120"/>
      </w:pPr>
      <w:r>
        <w:rPr>
          <w:rFonts w:ascii="Calibri" w:hAnsi="Calibri"/>
          <w:b/>
          <w:color w:val="6E8450"/>
          <w:sz w:val="18"/>
        </w:rPr>
        <w:t>GROWTH SLEEVE · 2026-09-06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Manufacturing · NasdaqCM · Hong Kong</w:t>
      </w:r>
    </w:p>
    <w:p>
      <w:pPr>
        <w:spacing w:after="80"/>
      </w:pPr>
      <w:r>
        <w:rPr>
          <w:rFonts w:ascii="Calibri" w:hAnsi="Calibri"/>
          <w:b w:val="0"/>
          <w:color w:val="3A4A28"/>
          <w:sz w:val="20"/>
        </w:rPr>
        <w:t>Neo-Concept International Group Holdings Limited is a one-stop apparel solution services provider based in Hong Kong, offering market trend analysis, product design and development, raw material sourcing, production and quality control, and logistics management. The company serves brand owners, apparel sourcing agents, and online fashion retailers in European and North American markets, and sells owned-brand knitwear under 'Les100Ciels' and 'SIU' brands through retail stores in the UK and UAE and e-commerce. Full-year 2025 revenue declined 41.8% to HK$137.3M (~$17.6M USD) as China-USA tariff disruptions devastated the private-label business. The company raised $8.1M through a dilutive public offering in February 2026.</w:t>
      </w:r>
    </w:p>
    <w:p>
      <w:r>
        <w:rPr>
          <w:rFonts w:ascii="Calibri" w:hAnsi="Calibri"/>
          <w:b/>
          <w:color w:val="6E8450"/>
          <w:sz w:val="18"/>
        </w:rPr>
        <w:t>https://www.neo-concept.com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Neo-Concept completed a brand acquisition from its affiliate, gaining full ownership of 'Les100Ciels' and 'SIU' brands with associated R&amp;D teams [4]. Owned-brand retail revenue grew 138.8% in H1 2025, but full-year 2025 total revenue collapsed 41.8% to HK$137.3M (~$17.6M USD) as the core private-label business was devastated by China-USA customs policies [1][5]. The brand pivot represents a modest extension, not a transformative reinvention, and has not offset the structural decline. AI Deployment (0/2): No evidence of AI-powered products, manufacturing automation, or quantified AI efficiency gains. Operations remain traditional apparel sourcing and production [4]. Market Share (0/2): Micro-cap apparel provider with approximately HK$137M annual revenue (~$17.6M USD) — a negligible participant in the global apparel supply chain with no category leadership position [1]. Product Pipeline (0/2): Les100Ciels expansion into UK and UAE retail locations provides modest visibility, but no specific product launches, timelines, or quantified revenue targets have been announced [4]. R&amp;D Intensity (0/1): Acquired R&amp;D teams through the brand transaction, but no quantified R&amp;D spending as a percentage of revenue has been disclosed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Neo-Concept describes itself as a 'one-stop apparel solution services provider' with commitment to 'reducing environmental impact through recycling, clean processes, traceable sourcing' — functional service description plus generic sustainability language interchangeable with any apparel peer [4][6]. Does not articulate a deeper purpose or distinctive vision. Community Impact (0/2): No evidence of corporate philanthropy, foundation activity, or community investment programs in public filings or investor materials [4]. The company emphasizes ethical sourcing of cashmere from documented farms in Inner Mongolia, but this is supply chain compliance, not charitable investment [6]. Employee Retention (0/2): No employee count, tenure data, turnover statistics, or cultural indicators are publicly available. The company does not report on workforce metrics [2]. Insider Buying (0/2): No evidence of meaningful insider buying or selling activity. The 2026 Incentive Securities Plan provides standard equity compensation but does not constitute personal insider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Neo-Concept's financial profile is deeply distressed. Full-year 2025 revenue declined 41.8% to HK$137.3M (~$17.6M USD), confirming the severity of China-USA tariff disruption on the private-label business [1][5]. Profit margin of ~0.24% reflects near-breakeven operations with H1 2025 net income of only HK$2.0M (~$0.3M USD) [1]. ROE of 0.58% indicates virtually no shareholder value creation (score 0.04, 2x weight). D/E of 82% is moderately above the 70% target (score 0.95). Revenue growth of -41.8% is well below the -20% floor (score 0.0). Trailing P/E of 151.6 reflects minimal earnings, with no Forward P/E or PEG data available (excluded from calculation). The company raised $8.1M through a dilutive public offering in February 2026 at $0.5454/share [7]. Daily dollar volume of ~$6.5M ($12.13 x 537K shares) passes the $1M liquidity threshold, though volume is highly variable for this micro-cap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Neo-Concept operates with a survival-focused finite mindset characteristic of a micro-cap company navigating severe revenue disruption. The company lacks an articulated Just Cause beyond being an apparel services provider, and board instability (director resignation March 2026) signals organizational uncertainty. The pivot to owned brands (Les100Ciels, SIU) shows adaptive capacity, but the company is reacting to external tariff pressures rather than proactively advancing a long-term vision. The dilutive February 2026 offering at $0.5454/share — raising $8.1M to fund operations — underscores the survival orientation.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Neo-Concept exists to provide apparel supply chain services and sell branded knitwear. No articulated Just Cause — no vision of a future state that transcends the business itself, no purpose that would inspire sacrifice [4]. Investor communications focus entirely on financial metrics, brand acquisitions, and revenue diversification. The company operates to generate revenue, which is a finite objective in Sinek's framework.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Board instability — director Man Chi WAI resigned in March 2026 and was replaced by Chun Kwok Wong [3]. For a micro-cap company, board-level departures signal potential governance friction. No employee engagement data, cultural indicators, or retention metrics available. The 2026 Incentive Securities Plan provides equity compensation but is too new to demonstrate trust-building effects [3]. Company founder James Chow (Yiu Kwan Chow) remains as Chairman and CEO, providing some continuity, but the organizational scale is too small for meaningful trust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Communications do not reference competitors, competitive dynamics, or learning from rivals' strengths [4]. Neo-Concept operates in a highly fragmented apparel supply chain market and does not position itself relative to specific competitors in a way that suggests self-improvement motivation.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Neo-Concept is undergoing a meaningful business model evolution — pivoting from pure private-label apparel sourcing to owned-brand retail through Les100Ciels and SIU brand acquisitions [4]. Owned-brand revenue grew 138.8% in H1 2025, partially offsetting the 51.7% collapse in private-label revenue [1]. Expansion from wholesale to direct retail through physical stores in UK and UAE plus e-commerce represents significant adaptation for a company of this size. However, these are reactive responses to tariff-driven revenue loss rather than proactive strategic pivots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acquisition of Les100Ciels and SIU brands represents a strategic bet on owned-brand retail during severe private-label decline — reallocating resources toward an unproven revenue stream [4]. Opening physical retail stores in UK and UAE while managing a 41.8% revenue decline demonstrates willingness to invest despite extreme financial pressure [1]. However, the dilutive February 2026 offering at $0.5454/share to raise $8.1M for operations suggests these bets are existential necessities rather than courageous choices from a position of strength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Neo-Concept International is a micro-cap apparel company attempting a strategic pivot from private-label sourcing to owned-brand retail through Les100Ciels and SIU brand acquisitions [4]. Owned-brand revenue grew 138.8% in H1 2025, and net income turned positive at HK$2.0M (~$0.3M USD) versus HK$1.4M in the prior period [1]. The company's commitment to sustainable fashion — traceable cashmere sourcing, clean manufacturing processes, ethical supply chain documentation — differentiates it modestly in the premium knitwear niche [6]. If the owned-brand channel scales successfully and tariff headwinds stabilize, the current micro-cap valuation could offer asymmetric upside.</w:t>
      </w:r>
    </w:p>
    <w:p>
      <w:pPr>
        <w:spacing w:after="120"/>
      </w:pPr>
      <w:r>
        <w:rPr>
          <w:rFonts w:ascii="Calibri" w:hAnsi="Calibri"/>
          <w:b w:val="0"/>
          <w:color w:val="3A4A28"/>
          <w:sz w:val="20"/>
        </w:rPr>
        <w:t>The fundamental problem is that Neo-Concept's business has collapsed — full-year 2025 revenue declined 41.8% to HK$137.3M (~$17.6M USD) as China-USA tariff policies devastated the private-label business, and H1 2025 delivered just $7.7M USD in total revenue [1][5]. With a 0.24% profit margin, 0.58% ROE, and trailing P/E of 151.6, the company generates virtually no economic value for shareholders. The dilutive February 2026 public offering at $0.5454/share — raising only $8.1M — suggests the company needed emergency capital to continue operations [7]. Board instability (director resignation March 2026), no analyst coverage, no institutional sponsorship, no Forward P/E or PEG data, and HK$82% D/E on a rapidly declining revenue base make this effectively uninvestable for most capital allocators [3][8]. The owned-brand pivot is unproven at scale, and the company competes against vastly larger, better-capitalized global apparel companies. Further tariff escalation could eliminate the remaining private-label business entirely.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Les100Ciels and SIU owned-brand retail scaling in UK, UAE, and e-commerce channels, building on the 138.8% H1 2025 growth that partially offsets private-label collapse</w:t>
      </w:r>
    </w:p>
    <w:p>
      <w:pPr>
        <w:spacing w:before="40" w:after="40"/>
        <w:ind w:left="283"/>
      </w:pPr>
      <w:r>
        <w:rPr>
          <w:rFonts w:ascii="Calibri" w:hAnsi="Calibri"/>
          <w:b/>
          <w:color w:val="4A6B25"/>
          <w:sz w:val="20"/>
        </w:rPr>
        <w:t xml:space="preserve">2. </w:t>
      </w:r>
      <w:r>
        <w:rPr>
          <w:rFonts w:ascii="Calibri" w:hAnsi="Calibri"/>
          <w:b w:val="0"/>
          <w:color w:val="3A4A28"/>
          <w:sz w:val="20"/>
        </w:rPr>
        <w:t>Resolution or easing of China-USA tariff disruptions could stabilize or recover the private-label sourcing business that declined 41.8% in FY2025</w:t>
      </w:r>
    </w:p>
    <w:p>
      <w:pPr>
        <w:spacing w:before="40" w:after="40"/>
        <w:ind w:left="283"/>
      </w:pPr>
      <w:r>
        <w:rPr>
          <w:rFonts w:ascii="Calibri" w:hAnsi="Calibri"/>
          <w:b/>
          <w:color w:val="4A6B25"/>
          <w:sz w:val="20"/>
        </w:rPr>
        <w:t xml:space="preserve">3. </w:t>
      </w:r>
      <w:r>
        <w:rPr>
          <w:rFonts w:ascii="Calibri" w:hAnsi="Calibri"/>
          <w:b w:val="0"/>
          <w:color w:val="3A4A28"/>
          <w:sz w:val="20"/>
        </w:rPr>
        <w:t>$8.1M raised through the February 2026 public offering provides working capital to fund the brand pivot and retail expansion despite operating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declined 41.8% in FY2025 with the private-label segment devastated by China-USA tariff policies — further trade escalation could eliminate the remaining private-label business entirely</w:t>
      </w:r>
    </w:p>
    <w:p>
      <w:pPr>
        <w:spacing w:before="40" w:after="40"/>
        <w:ind w:left="283"/>
      </w:pPr>
      <w:r>
        <w:rPr>
          <w:rFonts w:ascii="Calibri" w:hAnsi="Calibri"/>
          <w:b/>
          <w:color w:val="4A6B25"/>
          <w:sz w:val="20"/>
        </w:rPr>
        <w:t xml:space="preserve">2. </w:t>
      </w:r>
      <w:r>
        <w:rPr>
          <w:rFonts w:ascii="Calibri" w:hAnsi="Calibri"/>
          <w:b w:val="0"/>
          <w:color w:val="3A4A28"/>
          <w:sz w:val="20"/>
        </w:rPr>
        <w:t>Profit margin of 0.24% and ROE of 0.58% leave zero buffer against any revenue shortfall or cost increase — the company is one bad quarter away from net losses</w:t>
      </w:r>
    </w:p>
    <w:p>
      <w:pPr>
        <w:spacing w:before="40" w:after="40"/>
        <w:ind w:left="283"/>
      </w:pPr>
      <w:r>
        <w:rPr>
          <w:rFonts w:ascii="Calibri" w:hAnsi="Calibri"/>
          <w:b/>
          <w:color w:val="4A6B25"/>
          <w:sz w:val="20"/>
        </w:rPr>
        <w:t xml:space="preserve">3. </w:t>
      </w:r>
      <w:r>
        <w:rPr>
          <w:rFonts w:ascii="Calibri" w:hAnsi="Calibri"/>
          <w:b w:val="0"/>
          <w:color w:val="3A4A28"/>
          <w:sz w:val="20"/>
        </w:rPr>
        <w:t>Dilutive February 2026 offering at $0.5454/share, board instability (director resignation), no analyst coverage, no Forward P/E, and micro-cap scale create extreme information asymmetry and governance risk for outside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Neo-Concept's core business involves physical apparel manufacturing, raw material sourcing, quality control, and logistics management — physical-world operations AI cannot substitute [4]. Garment production, textile sourcing, fabric inspection, and international shipping require human expertise and physical infrastructure. However, the company's higher-value services — market trend analysis, product design, and development — face moderate AI exposure as generative AI tools increasingly perform fashion trend forecasting, pattern design, and visual merchandising that could reduce NCI's design service value-add [4]. The private-label sourcing intermediary model is also vulnerable to AI-powered supply chain matching platforms connecting brands directly with manufacturers, further disintermediating NCI's role. AI Opportunity (0/1): No revenue from AI-related products or services. No evidence of AI deployment in manufacturing, design, or customer-facing operations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Neo-Concept International Group Holdings H1 2025 Unaudited Financial Results — SEC Form 6-K, November 2025</w:t>
      </w:r>
    </w:p>
    <w:p>
      <w:pPr>
        <w:spacing w:before="20" w:after="20"/>
        <w:ind w:left="170"/>
      </w:pPr>
      <w:r>
        <w:rPr>
          <w:rFonts w:ascii="Calibri" w:hAnsi="Calibri"/>
          <w:b/>
          <w:color w:val="4A6B25"/>
          <w:sz w:val="15"/>
        </w:rPr>
        <w:t xml:space="preserve">2. </w:t>
      </w:r>
      <w:r>
        <w:rPr>
          <w:rFonts w:ascii="Calibri" w:hAnsi="Calibri"/>
          <w:b w:val="0"/>
          <w:color w:val="3A4A28"/>
          <w:sz w:val="17"/>
        </w:rPr>
        <w:t>Neo-Concept International Group Holdings 20-F Annual Report — SEC Filing, 2024</w:t>
      </w:r>
    </w:p>
    <w:p>
      <w:pPr>
        <w:spacing w:before="20" w:after="20"/>
        <w:ind w:left="170"/>
      </w:pPr>
      <w:r>
        <w:rPr>
          <w:rFonts w:ascii="Calibri" w:hAnsi="Calibri"/>
          <w:b/>
          <w:color w:val="4A6B25"/>
          <w:sz w:val="15"/>
        </w:rPr>
        <w:t xml:space="preserve">3. </w:t>
      </w:r>
      <w:r>
        <w:rPr>
          <w:rFonts w:ascii="Calibri" w:hAnsi="Calibri"/>
          <w:b w:val="0"/>
          <w:color w:val="3A4A28"/>
          <w:sz w:val="17"/>
        </w:rPr>
        <w:t>Neo-Concept International Board Changes (WAI resignation, Wong appointment) and 2026 Incentive Securities Plan — SEC 6-K Filings, March-June 2026</w:t>
      </w:r>
    </w:p>
    <w:p>
      <w:pPr>
        <w:spacing w:before="20" w:after="20"/>
        <w:ind w:left="170"/>
      </w:pPr>
      <w:r>
        <w:rPr>
          <w:rFonts w:ascii="Calibri" w:hAnsi="Calibri"/>
          <w:b/>
          <w:color w:val="4A6B25"/>
          <w:sz w:val="15"/>
        </w:rPr>
        <w:t xml:space="preserve">4. </w:t>
      </w:r>
      <w:r>
        <w:rPr>
          <w:rFonts w:ascii="Calibri" w:hAnsi="Calibri"/>
          <w:b w:val="0"/>
          <w:color w:val="3A4A28"/>
          <w:sz w:val="17"/>
        </w:rPr>
        <w:t>Neo-Concept International Group Holdings Investor Relations and Company Overview — ir.neo-ig.com and neo-concept.com,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Neo-Concept International Full-Year 2025 Revenue HK$137.25M (down 41.76%) — StockAnalysis.com / WallStreetZen,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Neo-Concept International ESG Practices — Ethical Cashmere Sourcing, Clean Manufacturing, Traceable Supply Chain — SEC 424B4 Filing</w:t>
      </w:r>
    </w:p>
    <w:p>
      <w:pPr>
        <w:spacing w:before="20" w:after="20"/>
        <w:ind w:left="170"/>
      </w:pPr>
      <w:r>
        <w:rPr>
          <w:rFonts w:ascii="Calibri" w:hAnsi="Calibri"/>
          <w:b/>
          <w:color w:val="4A6B25"/>
          <w:sz w:val="15"/>
        </w:rPr>
        <w:t xml:space="preserve">7. </w:t>
      </w:r>
      <w:r>
        <w:rPr>
          <w:rFonts w:ascii="Calibri" w:hAnsi="Calibri"/>
          <w:b w:val="0"/>
          <w:color w:val="3A4A28"/>
          <w:sz w:val="17"/>
        </w:rPr>
        <w:t>Neo-Concept International Public Offering — 14,850,000 shares at $0.5454, $8.1M gross proceeds, closed February 11, 2026 — StreetInsider / StockTitan</w:t>
      </w:r>
    </w:p>
    <w:p>
      <w:pPr>
        <w:spacing w:before="20" w:after="20"/>
        <w:ind w:left="170"/>
      </w:pPr>
      <w:r>
        <w:rPr>
          <w:rFonts w:ascii="Calibri" w:hAnsi="Calibri"/>
          <w:b/>
          <w:color w:val="4A6B25"/>
          <w:sz w:val="15"/>
        </w:rPr>
        <w:t xml:space="preserve">8. </w:t>
      </w:r>
      <w:r>
        <w:rPr>
          <w:rFonts w:ascii="Calibri" w:hAnsi="Calibri"/>
          <w:b w:val="0"/>
          <w:color w:val="3A4A28"/>
          <w:sz w:val="17"/>
        </w:rPr>
        <w:t>StockAnalysis.com — NCI Market Cap, Stock Price,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