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NESR</w:t>
      </w:r>
      <w:r>
        <w:rPr>
          <w:rFonts w:ascii="Calibri" w:hAnsi="Calibri"/>
          <w:b/>
          <w:color w:val="1A2010"/>
          <w:sz w:val="40"/>
        </w:rPr>
        <w:t xml:space="preserve">  National Energy Services Reunited Corp.</w:t>
      </w:r>
    </w:p>
    <w:p>
      <w:pPr>
        <w:spacing w:after="120"/>
      </w:pPr>
      <w:r>
        <w:rPr>
          <w:rFonts w:ascii="Calibri" w:hAnsi="Calibri"/>
          <w:b/>
          <w:color w:val="6E8450"/>
          <w:sz w:val="18"/>
        </w:rPr>
        <w:t>GROWTH SLEEVE · 2026-09-16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NASDAQ · United States</w:t>
      </w:r>
    </w:p>
    <w:p>
      <w:pPr>
        <w:spacing w:after="80"/>
      </w:pPr>
      <w:r>
        <w:rPr>
          <w:rFonts w:ascii="Calibri" w:hAnsi="Calibri"/>
          <w:b w:val="0"/>
          <w:color w:val="3A4A28"/>
          <w:sz w:val="20"/>
        </w:rPr>
        <w:t>National Energy Services Reunited is the largest MENA-headquartered oilfield services company publicly listed on NASDAQ. Founded in 2017 as a SPAC by former Schlumberger executive Sherif Foda, NESR provides production services (hydraulic fracturing, coiled tubing, cementing, stimulation, water management), drilling and evaluation services, and environmental/decarbonization services (NEDA) across 16 countries in the Middle East and North Africa. NESR reported record Q2 2026 revenue of $520.8M (+59% YoY) with net income of $44.0M, surpassing its $2B annualized revenue run rate target ahead of schedule. Market cap approximately $3.2 billion.</w:t>
      </w:r>
    </w:p>
    <w:p>
      <w:r>
        <w:rPr>
          <w:rFonts w:ascii="Calibri" w:hAnsi="Calibri"/>
          <w:b/>
          <w:color w:val="6E8450"/>
          <w:sz w:val="18"/>
        </w:rPr>
        <w:t>7,352 Employees · https://www.nesr.com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NESR scaled from a 2017 SPAC to surpassing a $2B annualized revenue run rate ahead of schedule, with Q2 2026 delivering record $520.8M revenue (+59% YoY) following Q1's $404.6M (+33.5% YoY) [1]. The company launched NESR Environmental and Decarbonization Applications (NEDA) in 2024, adding carbon capture, zero liquid discharge water technology, and Dynamic Vapor Recovery capabilities. The Jafurah unconventional gas contract — the largest single hydraulic fracturing tender in oilfield services history — represents a transformative contract win [1]. AI Deployment (0/2): No AI-powered products shipping to customers and no quantified AI-driven efficiency gains reported; technology investments focus on environmental and production optimization rather than artificial intelligence [2]. Market Share (2/2): NESR is the dominant independent oilfield services provider in MENA, securing Saudi Aramco's landmark Jafurah frac contract and receiving Aramco's Advanced Technology Contribution Award [1]. Operating across 16 countries serving 25+ E&amp;P companies, NESR has built a regional moat that global majors SLB and Halliburton cannot easily replicate. Pipeline (1/2): NEDA technologies include mineral recovery around zero liquid discharge water technology, a Dutch Dynamic Vapor Recovery investment, emissions monitoring pilots, and a second-phase carbon capture project in Indonesia [3]. Strong revenue visibility from Jafurah ramp and $300M+ in new cementing contracts, though specific next-gen launch dates are vague. R&amp;D Intensity (0/1): NESR's technology strategy relies primarily on partnerships and acquisitions rather than internal R&amp;D spend; R&amp;D intensity is below average for oilfield services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NESR positions itself as a leading integrated energy services provider for the MENA region with commitment to safety and sustainable operations — clear about what the company does and for whom, but industry-standard and not distinctively articulated beyond peer oilfield services companies [2]. Community Impact (1/2): NESR published its inaugural ESG report in 2020, joined the UN Global Compact in 2021, and launched NEDA in 2024 with carbon capture, water management, and emissions monitoring projects [3]. These are meaningful sustainability initiatives but lack specific philanthropic dollar amounts or distinctive community development programs. Employee Retention (0/2): CEO Sherif Foda has led NESR since its 2017 founding (9.7-year tenure), and the board averages 7 years tenure [2]. However, management team average tenure is only 4.3 years, and no publicly available data on employee turnover, cultural metrics, or mission-driven retention was identified. Insider Buying (0/2): Significant net insider selling — Director Yousif Al-Nowais liquidated $51.4M in shares in June 2026 (89% of his holdings) following 1.5M+ additional shares sold in May 2026 [1]. No insider buying was identified in the past 12 months despite the stock's strong performance.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Conservative balance sheet with D/E of 29.3%, well below the 70% target, with $175M cash against $305M total debt [1]. ROE of 9.4% is below the 15% target, reflecting the asset-heavy oilfield services model and rapid reinvestment phase. Revenue growth YoY of 59.1% vastly exceeds the 10% target, driven by Jafurah contract ramp and Saudi Arabia expansion [1]. Forward P/E of 11.6 is deeply below the 20 target, indicating the market has not fully priced in the earnings acceleration from $0.90 trailing EPS to $2.76 forward EPS. Profit margin of 5.8% is well below the 20% target but improving — adjusted EBITDA margin expanded to 20.4% in Q2 2026 from 19.0% in Q1 [1]. Forward PEG unavailable. Liquidity easily cleared at ~$69.7M daily traded value (2.17M shares x $32.09).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NESR demonstrates mixed infinite game characteristics. CEO Sherif Foda's 9.7-year tenure since founding and the deliberate build-out of a MENA energy services champion suggest purpose beyond quarterly optimization. The NEDA environmental platform represents forward-looking investment in sustainability capabilities. However, the SPAC formation origin is inherently financial engineering, the massive insider selling ($51.4M by a key director) signals equity monetization over long-term conviction, and the company's competitive language centers on growth metrics and market position rather than a deeper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NESR's founding purpose — creating the first major MENA-headquartered energy services company — is practical and distinctive within its niche but reads more as a market opportunity than a Just Cause in Sinek's sense [2]. The SPAC formation origin is an inherently financial vehicle designed to consolidate MENA oilfield assets. Water management and environmental services through NEDA represent a nascent purpose element, but the core existence is tied to hydrocarbon demand rather than a vision of a better future. CEO Foda's 9.7 years of dedicated leadership demonstrates genuine commitment to the enterprise.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Foda's 9.7-year tenure since founding and the board's 7-year average tenure provide leadership continuity and organizational stability [2]. The company has grown to 7,352 employees across 16 MENA countries in physically demanding oilfield environments where crew safety and trust are operationally critical. No evidence of major layoffs, cultural controversies, or organizational instability was identified. However, management team average tenure is only 4.3 years, and no specific employee engagement data, Glassdoor ratings, or retention statistics are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NESR operates alongside global oilfield services giants — SLB, Halliburton, Baker Hughes — with vastly greater scale and technology portfolios [2]. Rather than attempting to compete head-to-head globally, NESR has focused on building distinctive MENA-native expertise and deep national oil company relationships that global majors cannot easily replicate. The competitive strategy is differentiation through regional depth and customer intimacy rather than market share warfare against incumbents.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NESR launched NEDA in 2024, investing in carbon capture and sequestration, zero liquid discharge water technology, Dynamic Vapor Recovery, and continuous emissions monitoring — expanding from traditional oilfield services into environmental and decarbonization services [3]. The Indonesia carbon capture project and Dutch technology partnership show willingness to explore beyond the core MENA oilfield franchise. However, these represent incremental adjacency moves rather than a transformative business model pivot; the core production and drilling services business remains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Jafurah hydraulic fracturing contract — the largest single frac tender in oilfield services history — required significant upfront capital commitment and operational risk in an unconventional gas program with uncertain production economics [1]. NESR invested in NEDA environmental capabilities during a period of booming oilfield demand, when the easy path was to maximize extraction-focused revenue [3]. The company surpassed its $2B revenue run rate target ahead of schedule while expanding EBITDA margins from 19.0% to 20.4% sequentially — executing growth investments without sacrificing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NESR delivered record Q2 2026 revenue of $520.8M (+59% YoY) with net income nearly tripling to $44.0M, while adjusted EBITDA reached $106.2M at a 20.4% margin — expanding 150bps sequentially [1]. The company surpassed its $2B annualized revenue run rate target ahead of schedule, driven by the Jafurah unconventional gas contract ramp in Saudi Arabia and strong demand across Oman and Egypt. The balance sheet is conservative (D/E 29.3%, $175M cash vs $305M debt) and the stock trades at just 11.6x forward earnings ($2.76 forward EPS) despite 59% revenue growth and 190% quarterly earnings growth. Management is initiating capital returns with a $0.10/share quarterly dividend starting Q4 2026 and a $50M buyback program, signaling confidence in sustainable free cash flow of $137.6M [1]. NESR's positioning as the dominant MENA-native energy services provider gives it preferential access to Saudi Aramco, ADNOC, and other national oil company spending programs.</w:t>
      </w:r>
    </w:p>
    <w:p>
      <w:pPr>
        <w:spacing w:after="120"/>
      </w:pPr>
      <w:r>
        <w:rPr>
          <w:rFonts w:ascii="Calibri" w:hAnsi="Calibri"/>
          <w:b w:val="0"/>
          <w:color w:val="3A4A28"/>
          <w:sz w:val="20"/>
        </w:rPr>
        <w:t>The bear case centers on margin quality, insider selling, and customer concentration. Profit margin of 5.8% and ROE of 9.4% are well below IOWN targets, indicating that impressive topline growth is not translating into commensurate shareholder returns — the oilfield services business is inherently capital-intensive and low-margin even during upcycles [1]. Director Al-Nowais liquidated $51.4M in shares in June 2026 (89% of his holdings) following 1.5M+ additional shares sold in May 2026, signaling that a key insider believes current prices reflect full value after the stock's 223% move from $9.92 to $32.09 over 52 weeks. Geographic concentration in MENA creates severe customer risk — Saudi Aramco spending cuts, OPEC+ production curtailments, or sustained oil below $60/barrel would compress the entire revenue base. At a trailing P/E of 35.7x (inflated by the rapid earnings growth ramp), any execution miss on Jafurah or new contract wins could sharply re-rate the stock. The SPAC origin and relatively short public history leave limited track record for navigating a full commodity cycle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Jafurah unconventional gas program ramp — the largest single hydraulic fracturing contract in oilfield services history, with Saudi Aramco targeting 2B scf/day capacity creating multi-year, sole-source service demand [1]</w:t>
      </w:r>
    </w:p>
    <w:p>
      <w:pPr>
        <w:spacing w:before="40" w:after="40"/>
        <w:ind w:left="283"/>
      </w:pPr>
      <w:r>
        <w:rPr>
          <w:rFonts w:ascii="Calibri" w:hAnsi="Calibri"/>
          <w:b/>
          <w:color w:val="4A6B25"/>
          <w:sz w:val="20"/>
        </w:rPr>
        <w:t xml:space="preserve">2. </w:t>
      </w:r>
      <w:r>
        <w:rPr>
          <w:rFonts w:ascii="Calibri" w:hAnsi="Calibri"/>
          <w:b w:val="0"/>
          <w:color w:val="3A4A28"/>
          <w:sz w:val="20"/>
        </w:rPr>
        <w:t>NEDA environmental platform expansion into carbon capture, zero liquid discharge water technology, and emissions monitoring, opening new revenue streams as MENA NOCs face increasing environmental mandates [3]</w:t>
      </w:r>
    </w:p>
    <w:p>
      <w:pPr>
        <w:spacing w:before="40" w:after="40"/>
        <w:ind w:left="283"/>
      </w:pPr>
      <w:r>
        <w:rPr>
          <w:rFonts w:ascii="Calibri" w:hAnsi="Calibri"/>
          <w:b/>
          <w:color w:val="4A6B25"/>
          <w:sz w:val="20"/>
        </w:rPr>
        <w:t xml:space="preserve">3. </w:t>
      </w:r>
      <w:r>
        <w:rPr>
          <w:rFonts w:ascii="Calibri" w:hAnsi="Calibri"/>
          <w:b w:val="0"/>
          <w:color w:val="3A4A28"/>
          <w:sz w:val="20"/>
        </w:rPr>
        <w:t>Capital returns initiation with $0.10/share quarterly dividend and $50M buyback program starting Q4 2026, reflecting management confidence in sustainable $137.6M annual free cash flow generation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Saudi Arabia customer and project concentration — disproportionate revenue exposure to Aramco's Jafurah unconventional gas program; any contract delay, budget cut, or scope reduction would materially impact growth trajectory [1]</w:t>
      </w:r>
    </w:p>
    <w:p>
      <w:pPr>
        <w:spacing w:before="40" w:after="40"/>
        <w:ind w:left="283"/>
      </w:pPr>
      <w:r>
        <w:rPr>
          <w:rFonts w:ascii="Calibri" w:hAnsi="Calibri"/>
          <w:b/>
          <w:color w:val="4A6B25"/>
          <w:sz w:val="20"/>
        </w:rPr>
        <w:t xml:space="preserve">2. </w:t>
      </w:r>
      <w:r>
        <w:rPr>
          <w:rFonts w:ascii="Calibri" w:hAnsi="Calibri"/>
          <w:b w:val="0"/>
          <w:color w:val="3A4A28"/>
          <w:sz w:val="20"/>
        </w:rPr>
        <w:t>Thin profit margins (5.8%) and low ROE (9.4%) in an asset-heavy, labor-intensive business model — margin expansion depends on operating leverage that could reverse in a downturn, with limited pricing power against global competitors SLB, Halliburton, and Baker Hughes</w:t>
      </w:r>
    </w:p>
    <w:p>
      <w:pPr>
        <w:spacing w:before="40" w:after="40"/>
        <w:ind w:left="283"/>
      </w:pPr>
      <w:r>
        <w:rPr>
          <w:rFonts w:ascii="Calibri" w:hAnsi="Calibri"/>
          <w:b/>
          <w:color w:val="4A6B25"/>
          <w:sz w:val="20"/>
        </w:rPr>
        <w:t xml:space="preserve">3. </w:t>
      </w:r>
      <w:r>
        <w:rPr>
          <w:rFonts w:ascii="Calibri" w:hAnsi="Calibri"/>
          <w:b w:val="0"/>
          <w:color w:val="3A4A28"/>
          <w:sz w:val="20"/>
        </w:rPr>
        <w:t>Massive insider selling ($51.4M by Director Al-Nowais in June 2026, 89% of holdings) after a 223% stock run from 52-week low of $9.92 signals potential overvaluation and distribution by a key board member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NESR's core business — deploying physical drilling rigs, hydraulic fracturing equipment, coiled tubing units, and cementing crews in remote MENA oil fields — is structurally immune to AI disruption [1]. These operations require heavy equipment, specialized field crews, subsurface engineering expertise, and on-site safety management that AI cannot replicate. The Gulf's massive sovereign AI data center buildout (Saudi Arabia, UAE) directly increases demand for energy and water infrastructure services, positioning NESR as a beneficiary of AI expansion rather than a victim [2]. Saudi Aramco's multi-decade Jafurah investment demonstrates enduring physical-world service demand. No analysts have flagged AI substitution risk for NESR's business lines. AI Opportunity (0/1): No meaningful AI-generated revenue. Digital initiatives are operational tools rather than revenue-generating AI products; NESR's technology investments focus on environmental/decarbonization applications through NEDA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NESR Q2 2026 and Q1 2026 Earnings Reports — Record Q2 Revenue $520.8M (+59% YoY), Net Income $44.0M, Adj EBITDA $106.2M (20.4% margin); Q1 Revenue $404.6M (+33.5% YoY), Net Income $23.8M; $2B Run Rate Surpassed; Dividend Initiation and $50M Buyback; SEC Form 4 Insider Sales, 2026</w:t>
      </w:r>
    </w:p>
    <w:p>
      <w:pPr>
        <w:spacing w:before="20" w:after="20"/>
        <w:ind w:left="170"/>
      </w:pPr>
      <w:r>
        <w:rPr>
          <w:rFonts w:ascii="Calibri" w:hAnsi="Calibri"/>
          <w:b/>
          <w:color w:val="4A6B25"/>
          <w:sz w:val="15"/>
        </w:rPr>
        <w:t xml:space="preserve">2. </w:t>
      </w:r>
      <w:r>
        <w:rPr>
          <w:rFonts w:ascii="Calibri" w:hAnsi="Calibri"/>
          <w:b w:val="0"/>
          <w:color w:val="3A4A28"/>
          <w:sz w:val="17"/>
        </w:rPr>
        <w:t>NESR Executive Team, CEO Sherif Foda (9.7-year tenure), Company Profile — NESR.com, Simply Wall St, Yahoo Finance, ZoomInfo,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NESR ESG Report 2020, UN Global Compact 2021, NEDA Environmental Platform 2024 — Carbon Capture, Zero Liquid Discharge, Dynamic Vapor Recovery, Emissions Monitoring — NESR.com, Hart Energy,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