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NEXT</w:t>
      </w:r>
      <w:r>
        <w:rPr>
          <w:rFonts w:ascii="Calibri" w:hAnsi="Calibri"/>
          <w:b/>
          <w:color w:val="1A2010"/>
          <w:sz w:val="40"/>
        </w:rPr>
        <w:t xml:space="preserve">  NextDecade Corporation</w:t>
      </w:r>
    </w:p>
    <w:p>
      <w:pPr>
        <w:spacing w:after="120"/>
      </w:pPr>
      <w:r>
        <w:rPr>
          <w:rFonts w:ascii="Calibri" w:hAnsi="Calibri"/>
          <w:b/>
          <w:color w:val="6E8450"/>
          <w:sz w:val="18"/>
        </w:rPr>
        <w:t>GROWTH SLEEVE · 2026-09-01 · Inspire: 42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47</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Energy · Oil &amp; Gas Midstream · NASDAQ · United States</w:t>
      </w:r>
    </w:p>
    <w:p>
      <w:pPr>
        <w:spacing w:after="80"/>
      </w:pPr>
      <w:r>
        <w:rPr>
          <w:rFonts w:ascii="Calibri" w:hAnsi="Calibri"/>
          <w:b w:val="0"/>
          <w:color w:val="3A4A28"/>
          <w:sz w:val="20"/>
        </w:rPr>
        <w:t>NextDecade Corporation develops and constructs LNG liquefaction and export facilities in the United States. Its primary asset is the Rio Grande LNG project near Brownsville, Texas, with Phase 1 (Trains 1-3) at an estimated $18.0B, Train 4 at $6.7B, and Train 5 at $6.7B — all fully financed. First gas into the facility is expected H2 2026, with first LNG production from Train 1 in H1 2027. Q1 2026 revenue was $49.9M with a net loss of $136.4M.</w:t>
      </w:r>
    </w:p>
    <w:p>
      <w:r>
        <w:rPr>
          <w:rFonts w:ascii="Calibri" w:hAnsi="Calibri"/>
          <w:b/>
          <w:color w:val="6E8450"/>
          <w:sz w:val="18"/>
        </w:rPr>
        <w:t>360 Employees · https://www.next-decade.com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NextDecade has spent over a decade advancing Rio Grande LNG from concept to active construction, securing $31.4B in total project financing across five trains — a feat Fortune described as a 'longshot bet' that is 'finally paying off' [3]. However, the company has not completed any operational facility or executed a business model pivot; it remains in the pre-revenue construction phase using mature LNG liquefaction technology. AI Deployment (0/2): No AI-powered products or measurable AI-driven operational improvements are evident; the company is focused entirely on physical infrastructure construction [5]. Market Share (0/2): NextDecade has not yet produced a single cargo of LNG and holds zero share of the global LNG export market. First LNG from Train 1 is expected H1 2027 [1]. Product Pipeline (2/2): Trains 4 and 5 are fully financed at $6.7B each with specific construction timelines, and Phase 1 (Trains 1-3) is progressing toward commissioning with first gas expected H2 2026, providing clear next-generation revenue visibility [1][2]. R&amp;D Intensity (0/1): NextDecade is a project development company, not a technology innovator; R&amp;D spending is minimal relative to the $18B+ capital expenditure profile [5].</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NextDecade positions itself as providing reliable LNG supply to global markets and previously marketed the 'greenest LNG project' through integrated carbon capture and storage, but withdrew its CCS application at FERC in August 2024, undermining the environmental differentiation [5][6]. The remaining mission — building LNG export infrastructure — is clear but not distinctive from other LNG developers. Community Impact (0/2): FERC's final supplemental environmental impact statement concluded that the Rio Grande LNG project would have 'disproportionate and adverse' impacts on environmental justice communities near Brownsville, with critics highlighting increased air pollution risks for predominantly Latino, low-income residents [4][6]. No evidence of offsetting charitable programs or community investment was found. Employee Retention (0/2): No specific retention data, average tenure, or voluntary turnover figures are publicly available for this 360-person company. Insider Buying (0/2): No evidence of meaningful net insider buying by CEO Schatzman or other executives in the last 12 months was identified in available data.</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NextDecade's infrastructure score reflects the financial profile of a pre-revenue, development-stage LNG company carrying $6.76B in total debt (up 95% YoY) against minimal construction-phase revenue of $49.9M in Q1 2026 [1][7]. Debt-to-equity of 342% exceeds the 300% floor (score 0.0), ROE is deeply negative at approximately -50% due to ongoing net losses of $136.4M per quarter (score 0.0), and profit margin is approximately -273% (score 0.0) [1][7]. Revenue growth of 11.1% YoY (Q1 2026 $49.9M vs Q1 2025 $44.9M) scores 1.0. Forward P/E, PEG, and 5yr revenue CAGR are unavailable given the pre-commercial status. Weighted sum 1.0 / max 5.0 = 2. Liquidity passed at $10.5M average daily dollar volume.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B8860B"/>
          <w:sz w:val="28"/>
        </w:rPr>
        <w:t>6</w:t>
      </w:r>
      <w:r>
        <w:rPr>
          <w:rFonts w:ascii="Calibri" w:hAnsi="Calibri"/>
          <w:b w:val="0"/>
          <w:color w:val="9DAF88"/>
          <w:sz w:val="18"/>
        </w:rPr>
        <w:t xml:space="preserve"> /10</w:t>
      </w:r>
    </w:p>
    <w:p>
      <w:pPr>
        <w:spacing w:after="120"/>
      </w:pPr>
      <w:r>
        <w:rPr>
          <w:rFonts w:ascii="Calibri" w:hAnsi="Calibri"/>
          <w:b w:val="0"/>
          <w:color w:val="3A4A28"/>
          <w:sz w:val="18"/>
        </w:rPr>
        <w:t>NextDecade demonstrates notable courage through CEO Schatzman's decade-long persistence in securing $31.4B in financing for Rio Grande LNG despite repeated skepticism, but the company's just cause has been weakened by the withdrawal of its carbon capture program and the environmental justice concerns surrounding the project site. The company plays to keep building — persistence is its defining trait — but a single-project company has limited organizational resilience.</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NextDecade articulated a cause around providing 'the greenest LNG' through integrated carbon capture and storage, but withdrew its CCS application at FERC in August 2024, reducing the purpose to straightforward LNG export — commercially viable but uninspiring [5][6]. The remaining cause — energy security through LNG — is genuine but interchangeable with any LNG developer. The cause exists but is shallow (1/3 raw).</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NextDecade employs 360 people and maintains a stable workforce under consistent leadership from CEO Schatzman since 2018 [5]. The small team has held together through a decade of pre-revenue development, suggesting adequate cohesion. However, no evidence of exceptional employee empowerment or psychological safety practices was identified beyond standard operational culture (1/2 raw).</w:t>
      </w:r>
    </w:p>
    <w:p>
      <w:pPr>
        <w:spacing w:before="200" w:after="40"/>
      </w:pPr>
      <w:r>
        <w:rPr>
          <w:rFonts w:ascii="Calibri" w:hAnsi="Calibri"/>
          <w:b/>
          <w:color w:val="1A2010"/>
          <w:sz w:val="22"/>
        </w:rPr>
        <w:t>Worthy Rivals</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NextDecade operates in a competitive LNG export market alongside Cheniere Energy (the established U.S. leader) and Venture Global, and management has positioned Rio Grande LNG's advantages by referencing competitive dynamics and learning from established operators' approaches to project execution and customer contracting [3][5]. The language focuses on building the best facility rather than destroying rivals (1/1 raw).</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NextDecade demonstrated incremental flexibility by expanding from the original 3-train Phase 1 to add fully-financed Trains 4 and 5 at $6.7B each, and adjusted its CCS strategy when the regulatory environment proved challenging [2][5]. These were adaptive moves, but the core business model (LNG export) has remained unchanged since founding — this is a single-project company with limited pivot capability (1/2 raw).</w:t>
      </w:r>
    </w:p>
    <w:p>
      <w:pPr>
        <w:spacing w:before="200" w:after="40"/>
      </w:pPr>
      <w:r>
        <w:rPr>
          <w:rFonts w:ascii="Calibri" w:hAnsi="Calibri"/>
          <w:b/>
          <w:color w:val="1A2010"/>
          <w:sz w:val="22"/>
        </w:rPr>
        <w:t>Courage To Lead</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CEO Matt Schatzman persevered through more than a decade of skepticism, market downturns, and regulatory hurdles to secure $31.4B+ in total project financing for Rio Grande LNG — a commitment Fortune characterized as a 'longshot bet' that took 'over a decade' to pay off [3]. Schatzman sacrificed short-term viability (the company reported consistent losses including $136.4M in Q1 2026) in pursuit of a generational infrastructure asset, and personally led the financing campaign through multiple market cycles [1] (2/2 raw).</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NextDecade offers a rare opportunity to invest in a fully-financed, pre-commercial LNG export platform at a discount to its ultimate production value. With $31.4B in total project financing secured across five trains, first gas expected H2 2026, and first LNG production in H1 2027, the company is approaching the inflection from capital-consuming construction to cash-generating operations [1][2]. Structural tailwinds from the AI-driven global electricity surge, European energy security diversification, and Asian coal-to-gas switching support long-term LNG demand growth [3]. At a $1.91B market cap, the stock trades at a fraction of the facility's replacement cost, and the fully-financed Trains 4 and 5 provide additional growth optionality beyond the Phase 1 base case [2].</w:t>
      </w:r>
    </w:p>
    <w:p>
      <w:pPr>
        <w:spacing w:after="120"/>
      </w:pPr>
      <w:r>
        <w:rPr>
          <w:rFonts w:ascii="Calibri" w:hAnsi="Calibri"/>
          <w:b w:val="0"/>
          <w:color w:val="3A4A28"/>
          <w:sz w:val="20"/>
        </w:rPr>
        <w:t>The bear case centers on execution risk across a $31.4B construction program, with quarterly net losses of $136.4M and debt-to-equity of 342% leaving no margin for error [1][7]. Any construction delay, cost overrun, or regulatory setback at Rio Grande LNG could be existential for a single-project company with $6.76B in total debt. Environmental opposition remains active — FERC acknowledged 'disproportionate and adverse' impacts on local communities, and the CCS withdrawal has invited greenwashing criticism from environmental groups [4][6]. LNG market pricing is cyclical, and if global gas prices decline during the production ramp as competing supply from Qatar and other U.S. projects comes online, realized margins could disappoint relative to the massive capital investment.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First gas into the facility expected H2 2026 and first LNG production from Train 1 in H1 2027, marking the transition from capital consumption to revenue generation [1]</w:t>
      </w:r>
    </w:p>
    <w:p>
      <w:pPr>
        <w:spacing w:before="40" w:after="40"/>
        <w:ind w:left="283"/>
      </w:pPr>
      <w:r>
        <w:rPr>
          <w:rFonts w:ascii="Calibri" w:hAnsi="Calibri"/>
          <w:b/>
          <w:color w:val="4A6B25"/>
          <w:sz w:val="20"/>
        </w:rPr>
        <w:t xml:space="preserve">2. </w:t>
      </w:r>
      <w:r>
        <w:rPr>
          <w:rFonts w:ascii="Calibri" w:hAnsi="Calibri"/>
          <w:b w:val="0"/>
          <w:color w:val="3A4A28"/>
          <w:sz w:val="20"/>
        </w:rPr>
        <w:t>AI data center boom driving approximately 4% annual growth in global electricity demand, directly increasing long-term LNG demand as a baseload fuel [3]</w:t>
      </w:r>
    </w:p>
    <w:p>
      <w:pPr>
        <w:spacing w:before="40" w:after="40"/>
        <w:ind w:left="283"/>
      </w:pPr>
      <w:r>
        <w:rPr>
          <w:rFonts w:ascii="Calibri" w:hAnsi="Calibri"/>
          <w:b/>
          <w:color w:val="4A6B25"/>
          <w:sz w:val="20"/>
        </w:rPr>
        <w:t xml:space="preserve">3. </w:t>
      </w:r>
      <w:r>
        <w:rPr>
          <w:rFonts w:ascii="Calibri" w:hAnsi="Calibri"/>
          <w:b w:val="0"/>
          <w:color w:val="3A4A28"/>
          <w:sz w:val="20"/>
        </w:rPr>
        <w:t>Trains 4 and 5 fully financed at $6.7B each, providing clear growth visibility beyond Phase 1 with potential for 27+ mtpa total capacity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Construction delays on the $18B Phase 1 could extend losses and increase financing costs, with debt at 342% of equity and quarterly losses of $136.4M [1][7]</w:t>
      </w:r>
    </w:p>
    <w:p>
      <w:pPr>
        <w:spacing w:before="40" w:after="40"/>
        <w:ind w:left="283"/>
      </w:pPr>
      <w:r>
        <w:rPr>
          <w:rFonts w:ascii="Calibri" w:hAnsi="Calibri"/>
          <w:b/>
          <w:color w:val="4A6B25"/>
          <w:sz w:val="20"/>
        </w:rPr>
        <w:t xml:space="preserve">2. </w:t>
      </w:r>
      <w:r>
        <w:rPr>
          <w:rFonts w:ascii="Calibri" w:hAnsi="Calibri"/>
          <w:b w:val="0"/>
          <w:color w:val="3A4A28"/>
          <w:sz w:val="20"/>
        </w:rPr>
        <w:t>Environmental justice litigation and CCS withdrawal invite regulatory and reputational risk from environmental groups and community advocates [4][6]</w:t>
      </w:r>
    </w:p>
    <w:p>
      <w:pPr>
        <w:spacing w:before="40" w:after="40"/>
        <w:ind w:left="283"/>
      </w:pPr>
      <w:r>
        <w:rPr>
          <w:rFonts w:ascii="Calibri" w:hAnsi="Calibri"/>
          <w:b/>
          <w:color w:val="4A6B25"/>
          <w:sz w:val="20"/>
        </w:rPr>
        <w:t xml:space="preserve">3. </w:t>
      </w:r>
      <w:r>
        <w:rPr>
          <w:rFonts w:ascii="Calibri" w:hAnsi="Calibri"/>
          <w:b w:val="0"/>
          <w:color w:val="3A4A28"/>
          <w:sz w:val="20"/>
        </w:rPr>
        <w:t>Cyclical LNG pricing risk — global supply additions from Qatar, Australia, and competing U.S. projects could create oversupply by 2028-2029 when full Phase 1 capacity comes online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(8/9): LNG liquefaction and export is a capital-intensive, physical infrastructure business that AI structurally cannot displace — no algorithm can replicate an $18B liquefaction facility with marine loading terminals and cryogenic processing [5]. The AI data center boom is a direct demand driver for natural gas-fired electricity, with global electricity demand surging approximately 4% annually driven by electrification and AI workloads [3]. NextDecade's Rio Grande LNG will supply exactly the energy feedstock that AI expansion requires. Analysts see zero substitution risk for LNG infrastructure. AI Opportunity (0/1): NextDecade does not generate revenue from AI products or services and has disclosed no AI-powered operational tools [5].</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42</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Business Resilience </w:t>
      </w:r>
      <w:r>
        <w:rPr>
          <w:rFonts w:ascii="Calibri" w:hAnsi="Calibri"/>
          <w:b w:val="0"/>
          <w:color w:val="9DAF88"/>
          <w:sz w:val="17"/>
        </w:rPr>
        <w:t xml:space="preserve">  ·  </w:t>
      </w:r>
      <w:r>
        <w:rPr>
          <w:rFonts w:ascii="Calibri" w:hAnsi="Calibri"/>
          <w:b/>
          <w:color w:val="16A34A"/>
          <w:sz w:val="17"/>
        </w:rPr>
        <w:t xml:space="preserve"> Customer Privacy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Ethical Sales Practices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Fair Competition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Materials Efficiency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Regulatory Adherence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NextDecade Q1 2026 Earnings Release — revenue of $49.9M, net loss of $136.4M, first gas H2 2026, first LNG H1 2027</w:t>
      </w:r>
    </w:p>
    <w:p>
      <w:pPr>
        <w:spacing w:before="20" w:after="20"/>
        <w:ind w:left="170"/>
      </w:pPr>
      <w:r>
        <w:rPr>
          <w:rFonts w:ascii="Calibri" w:hAnsi="Calibri"/>
          <w:b/>
          <w:color w:val="4A6B25"/>
          <w:sz w:val="15"/>
        </w:rPr>
        <w:t xml:space="preserve">2. </w:t>
      </w:r>
      <w:r>
        <w:rPr>
          <w:rFonts w:ascii="Calibri" w:hAnsi="Calibri"/>
          <w:b w:val="0"/>
          <w:color w:val="3A4A28"/>
          <w:sz w:val="17"/>
        </w:rPr>
        <w:t>Yahoo Finance — NextDecade Q2 2026 Earnings Call Summary, project financing updates, accessed September 2026</w:t>
      </w:r>
    </w:p>
    <w:p>
      <w:pPr>
        <w:spacing w:before="20" w:after="20"/>
        <w:ind w:left="170"/>
      </w:pPr>
      <w:r>
        <w:rPr>
          <w:rFonts w:ascii="Calibri" w:hAnsi="Calibri"/>
          <w:b/>
          <w:color w:val="4A6B25"/>
          <w:sz w:val="15"/>
        </w:rPr>
        <w:t xml:space="preserve">3. </w:t>
      </w:r>
      <w:r>
        <w:rPr>
          <w:rFonts w:ascii="Calibri" w:hAnsi="Calibri"/>
          <w:b w:val="0"/>
          <w:color w:val="3A4A28"/>
          <w:sz w:val="17"/>
        </w:rPr>
        <w:t>Fortune — 'It took over a decade, but NextDecade's longshot bet to lead LNG in Texas is finally paying off,' May 2026</w:t>
      </w:r>
    </w:p>
    <w:p>
      <w:pPr>
        <w:spacing w:before="20" w:after="20"/>
        <w:ind w:left="170"/>
      </w:pPr>
      <w:r>
        <w:rPr>
          <w:rFonts w:ascii="Calibri" w:hAnsi="Calibri"/>
          <w:b/>
          <w:color w:val="4A6B25"/>
          <w:sz w:val="15"/>
        </w:rPr>
        <w:t xml:space="preserve">4. </w:t>
      </w:r>
      <w:r>
        <w:rPr>
          <w:rFonts w:ascii="Calibri" w:hAnsi="Calibri"/>
          <w:b w:val="0"/>
          <w:color w:val="3A4A28"/>
          <w:sz w:val="17"/>
        </w:rPr>
        <w:t>Common Dreams / PESP — 'Rio Grande LNG Expansion: a Lose-Lose Proposition,' environmental justice analysis</w:t>
      </w:r>
    </w:p>
    <w:p>
      <w:pPr>
        <w:spacing w:before="20" w:after="20"/>
        <w:ind w:left="170"/>
      </w:pPr>
      <w:r>
        <w:rPr>
          <w:rFonts w:ascii="Calibri" w:hAnsi="Calibri"/>
          <w:b/>
          <w:color w:val="4A6B25"/>
          <w:sz w:val="15"/>
        </w:rPr>
        <w:t xml:space="preserve">5. </w:t>
      </w:r>
      <w:r>
        <w:rPr>
          <w:rFonts w:ascii="Calibri" w:hAnsi="Calibri"/>
          <w:b w:val="0"/>
          <w:color w:val="3A4A28"/>
          <w:sz w:val="17"/>
        </w:rPr>
        <w:t>NextDecade investor relations — Senior leadership, project updates, and corporate governance, accessed September 2026</w:t>
      </w:r>
    </w:p>
    <w:p>
      <w:pPr>
        <w:spacing w:before="20" w:after="20"/>
        <w:ind w:left="170"/>
      </w:pPr>
      <w:r>
        <w:rPr>
          <w:rFonts w:ascii="Calibri" w:hAnsi="Calibri"/>
          <w:b/>
          <w:color w:val="4A6B25"/>
          <w:sz w:val="15"/>
        </w:rPr>
        <w:t xml:space="preserve">6. </w:t>
      </w:r>
      <w:r>
        <w:rPr>
          <w:rFonts w:ascii="Calibri" w:hAnsi="Calibri"/>
          <w:b w:val="0"/>
          <w:color w:val="3A4A28"/>
          <w:sz w:val="17"/>
        </w:rPr>
        <w:t>FERC — Final Supplemental Environmental Impact Statement for Rio Grande LNG project; CCS withdrawal August 2024</w:t>
      </w:r>
    </w:p>
    <w:p>
      <w:pPr>
        <w:spacing w:before="20" w:after="20"/>
        <w:ind w:left="170"/>
      </w:pPr>
      <w:r>
        <w:rPr>
          <w:rFonts w:ascii="Calibri" w:hAnsi="Calibri"/>
          <w:b/>
          <w:color w:val="4A6B25"/>
          <w:sz w:val="15"/>
        </w:rPr>
        <w:t xml:space="preserve">7. </w:t>
      </w:r>
      <w:r>
        <w:rPr>
          <w:rFonts w:ascii="Calibri" w:hAnsi="Calibri"/>
          <w:b w:val="0"/>
          <w:color w:val="3A4A28"/>
          <w:sz w:val="17"/>
        </w:rPr>
        <w:t>CompaniesMarketCap — NEXT P/E ratio (-3.82), debt-to-equity (342%), and market cap ($1.91B),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