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NE</w:t>
      </w:r>
      <w:r>
        <w:rPr>
          <w:rFonts w:ascii="Calibri" w:hAnsi="Calibri"/>
          <w:b/>
          <w:color w:val="1A2010"/>
          <w:sz w:val="40"/>
        </w:rPr>
        <w:t xml:space="preserve">  Noble Corporation plc</w:t>
      </w:r>
    </w:p>
    <w:p>
      <w:pPr>
        <w:spacing w:after="120"/>
      </w:pPr>
      <w:r>
        <w:rPr>
          <w:rFonts w:ascii="Calibri" w:hAnsi="Calibri"/>
          <w:b/>
          <w:color w:val="6E8450"/>
          <w:sz w:val="18"/>
        </w:rPr>
        <w:t>GROWTH SLEEVE · 2026-09-13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Drilling · NYSE · United Kingdom</w:t>
      </w:r>
    </w:p>
    <w:p>
      <w:pPr>
        <w:spacing w:after="80"/>
      </w:pPr>
      <w:r>
        <w:rPr>
          <w:rFonts w:ascii="Calibri" w:hAnsi="Calibri"/>
          <w:b w:val="0"/>
          <w:color w:val="3A4A28"/>
          <w:sz w:val="20"/>
        </w:rPr>
        <w:t>Noble Corporation is one of the world's largest offshore drilling contractors, operating a fleet of ultra-deepwater drillships and jackup rigs for oil and gas exploration and production companies globally. Noble emerged from Chapter 11 bankruptcy in February 2021 and subsequently acquired Diamond Offshore Drilling in September 2024, creating the second-largest offshore drilling fleet. The company reported Q2 2026 contract drilling revenue of $679M with adjusted EBITDA of $212M, and lowered full-year 2026 guidance to $2.8B-$2.9B revenue and $850M-$925M adjusted EBITDA due to operational suspensions on two rigs in Brazil. Backlog stood at $7.5B as of April 2026.</w:t>
      </w:r>
    </w:p>
    <w:p>
      <w:r>
        <w:rPr>
          <w:rFonts w:ascii="Calibri" w:hAnsi="Calibri"/>
          <w:b/>
          <w:color w:val="6E8450"/>
          <w:sz w:val="18"/>
        </w:rPr>
        <w:t>5,500 Employees · https://noblecorp.com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Noble's primary strategic move was the September 2024 acquisition of Diamond Offshore, which expanded its fleet to become the second-largest offshore drilling contractor globally — a significant business combination but an incremental industry consolidation rather than a transformative pivot or new business model [1]. The post-bankruptcy re-emergence (2021) reshaped the balance sheet but did not redefine the core drilling business. AI Deployment (1/2): Noble has deployed AI with measurable results through a five-year partnership with Fennex, developing AI-powered predictive safety technology across its offshore fleet that delivered a 43% reduction in incident reporting and 30% increase in workforce engagement [2]. The company is also upgrading to IFS Cloud ERP with AI capabilities for predictive maintenance. However, these are internal operational improvements, not AI products shipping to customers. Market Share (1/2): Noble is the #2 offshore drilling contractor by fleet size following the Diamond Offshore acquisition, with strong positioning in ultra-deepwater segments where recent fixtures have reached the mid-$400K/day range [1]. However, the offshore drilling market remains fragmented with significant competitors (Transocean, Valaris, Borr Drilling). Product Pipeline (1/2): The $7.5B backlog provides multi-year revenue visibility, and management expects a meaningful earnings inflection in H2 2027 driven by strong international ultra-deepwater demand [1]. However, no specific next-generation rig platforms or new service lines with named launch dates have been announced. R&amp;D Intensity (0/1): Offshore drilling contractors invest in fleet maintenance and upgrades rather than traditional R&amp;D; Noble's technology spending is at industry average levels.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Noble's stated purpose — 'Drilling to power the world responsibly' and striving to be 'the first choice for employees, customers and investors' — is generic and interchangeable with any offshore drilling peer [3]. The 'responsibly' qualifier signals awareness of ESG expectations but does not articulate a deeper purpose beyond operational excellence in drilling. Community Impact (1/2): Noble publishes annual sustainability reports and maintains a sustainability framework focused on reducing emissions, waste management, and responsible energy production [4]. However, no specific philanthropic programs, community investment amounts, or distinctive charitable initiatives were identified. Employee Retention (0/2): Glassdoor reviews (3.6/5, 264 reviews) reveal significant cultural concerns — employees cite 'toxic environment,' 'lack of leadership integrity,' 'gossip and smoke and mirrors rather than real collaboration,' and that 'talented employees continue to leave' [2]. Multiple reviews describe management complacency and a culture that does not care about employees. This evidence points to below-average retention driven by cultural deficiencies. Insider Buying (0/2): No specific insider buying data was identified for 2026; no evidence of meaningful net insider purchases by CEO Robert Eifler or other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stock, PEG excluded due to unavailability). Noble's balance sheet is conservative with D/E of only 43%, well below the 70% target [5]. However, profitability metrics are weak: ROE of 3.28% (far below the 15% target) and net profit margin of 5.19% reflect the cyclical trough in offshore drilling economics and integration costs from the Diamond acquisition. Revenue growth YoY is approximately -10% as Q1 declined 10% and Q2 declined 15.2% due to Brazil rig suspensions and market softness [1]. The 5yr revenue CAGR of ~20% is strong but heavily inflated by the Diamond Offshore acquisition rather than organic growth. Forward P/E of 45.45 is significantly above the 20 target, pricing in a future earnings recovery that has not yet materialized. Liquidity floor cleared easily at $93.8M daily trading value ($48.08 x 1.95M shares).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Noble Corporation exhibits predominantly finite game characteristics despite its large backlog and fleet scale. The company emerged from bankruptcy in 2021 and has since focused on aggressive growth through acquisition (Diamond Offshore) and financial engineering rather than articulating an enduring purpose beyond industry leadership. Glassdoor reviews describe a culture of gossip, management complacency, and talented employees leaving — the opposite of Sinek's trusting teams. The competitive language ('first choice,' 'leading driller') is oriented toward winning rather than improving, and the Just Cause is thin — the company exists to drill profitably rather than to advance a vision of a better future.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Noble's purpose — 'Drilling to power the world responsibly' — exists but is shallow by Sinek's standards [3]. It reads as marketing rather than a genuine vision of a future state that inspires sacrifice. The company does not reference this purpose in strategic decisions; the Diamond Offshore acquisition was driven by fleet scale and market positioning, not by advancing a cause. The post-bankruptcy company is only 5 years old and has not had the time or crises to validate whether its purpose shapes behavior. Leadership messaging focuses on financial returns, backlog metrics, and rig utilization rather than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Glassdoor reviews paint a concerning picture of Noble's internal culture [2]. Employees describe 'a culture that leans heavily on gossip and smoke and mirrors rather than real collaboration,' 'lack of leadership integrity,' and a 'toxic environment' where 'talented employees continue to leave.' Reviews cite management that is 'complacent and not open to fighting for change' and complaints that the company 'did not care about their employees.' While CEO Robert Eifler states a policy to 'leave your ego at the door,' employees respond that he has 'the biggest ego of all.' This evidence indicates a low-trust environment with significant organizational dysfunction.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Noble's competitive positioning is framed around being 'the leading offshore driller' and 'the first choice' — language focused on winning market position rather than learning from competitors [3]. The Diamond Offshore acquisition was explicitly about fleet scale and competitive positioning. No evidence of management commentary acknowledging competitors' strengths as motivation for self-improvement. The company competes on rig count, day rates, and utilization — finite game metrics.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Noble's bankruptcy and re-emergence in 2021 represents a forced but successful strategic reset — the company shed legacy debt, restructured its fleet, and re-entered the market as a leaner operator [1]. The subsequent Diamond Offshore acquisition in 2024 was a strategic expansion that meaningfully changed the company's competitive position. However, both moves kept Noble within the same industry and business model — offshore drilling. There has been no transformative pivot into a new market or fundamental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Diamond Offshore acquisition in September 2024 was a bold strategic bet — Noble took on significant integration risk to nearly double its fleet size during a period of offshore market uncertainty [1]. Management's decision to maintain the $2.00/share annual dividend ($300M+ annually) despite declining revenues and lowered 2026 guidance demonstrates confidence in the long-term earnings trajectory. However, the lowered guidance due to Brazil rig suspensions suggests operational execution challenges, and there is no evidence of leadership sacrificing short-term results for long-term capability building beyond the acquisition.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Noble Corporation at $48.08 offers exposure to the offshore drilling upcycle through the second-largest global fleet, backed by a $7.5B backlog providing multi-year revenue visibility and a 4.39% dividend yield ($2.00/share annually) [1]. The Diamond Offshore integration creates scale advantages in rig maintenance, customer relationships, and negotiating leverage, while ultra-deepwater fixtures reaching the mid-$400K/day range signal improving day rate economics. Management expects a meaningful earnings inflection in H2 2027 as the offshore supply-demand balance tightens — the global offshore rig count remains well below pre-2014 peaks while deepwater project sanctions are accelerating. The conservative D/E of 43% provides balance sheet flexibility, and the AI-powered predictive safety platform (Fennex partnership) demonstrates operational innovation that reduces costs and improves safety metrics [2].</w:t>
      </w:r>
    </w:p>
    <w:p>
      <w:pPr>
        <w:spacing w:after="120"/>
      </w:pPr>
      <w:r>
        <w:rPr>
          <w:rFonts w:ascii="Calibri" w:hAnsi="Calibri"/>
          <w:b w:val="0"/>
          <w:color w:val="3A4A28"/>
          <w:sz w:val="20"/>
        </w:rPr>
        <w:t>The bear case is substantial: Noble lowered full-year 2026 guidance to $2.8B-$2.9B revenue and $850M-$925M adjusted EBITDA due to operational suspensions on two rigs in Brazil, and Q2 revenue declined 15.2% YoY to $719.7M [1]. The Forward P/E of 45.45 prices in a recovery that management itself does not expect until H2 2027 — any delay in the offshore upcycle or additional rig suspensions could trigger significant multiple compression. ROE of 3.28% and net profit margin of 5.19% demonstrate that the company is not currently earning adequate returns on capital. Glassdoor reviews describe a 'toxic' corporate culture with leadership integrity concerns, which could undermine the Diamond integration and lead to continued talent attrition [2]. The offshore drilling industry remains deeply cyclical and exposed to oil price volatility — a sustained move below $60/barrel would compress day rates and defer deepwater project sanctions. The company only emerged from bankruptcy in 2021, and the aggressive dividend of $300M+ annually ($2.00/share) consumes significant free cash flow during a period of declining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Offshore drilling upcycle expected to accelerate in H2 2027 with ultra-deepwater fixtures already reaching mid-$400K/day, providing upside to Noble's $7.5B backlog as legacy contracts roll off and reprice higher [1]</w:t>
      </w:r>
    </w:p>
    <w:p>
      <w:pPr>
        <w:spacing w:before="40" w:after="40"/>
        <w:ind w:left="283"/>
      </w:pPr>
      <w:r>
        <w:rPr>
          <w:rFonts w:ascii="Calibri" w:hAnsi="Calibri"/>
          <w:b/>
          <w:color w:val="4A6B25"/>
          <w:sz w:val="20"/>
        </w:rPr>
        <w:t xml:space="preserve">2. </w:t>
      </w:r>
      <w:r>
        <w:rPr>
          <w:rFonts w:ascii="Calibri" w:hAnsi="Calibri"/>
          <w:b w:val="0"/>
          <w:color w:val="3A4A28"/>
          <w:sz w:val="20"/>
        </w:rPr>
        <w:t>Diamond Offshore integration synergies ramping through 2026-2027, with fleet scale driving maintenance cost efficiencies, improved customer negotiating leverage, and utilization optimization across the combined drillship and jackup portfolio [1]</w:t>
      </w:r>
    </w:p>
    <w:p>
      <w:pPr>
        <w:spacing w:before="40" w:after="40"/>
        <w:ind w:left="283"/>
      </w:pPr>
      <w:r>
        <w:rPr>
          <w:rFonts w:ascii="Calibri" w:hAnsi="Calibri"/>
          <w:b/>
          <w:color w:val="4A6B25"/>
          <w:sz w:val="20"/>
        </w:rPr>
        <w:t xml:space="preserve">3. </w:t>
      </w:r>
      <w:r>
        <w:rPr>
          <w:rFonts w:ascii="Calibri" w:hAnsi="Calibri"/>
          <w:b w:val="0"/>
          <w:color w:val="3A4A28"/>
          <w:sz w:val="20"/>
        </w:rPr>
        <w:t>Fennex AI-powered predictive safety technology delivering measurable operational improvements (43% reduction in incident reporting) that could expand to predictive maintenance, reducing downtime and improving rig economics across the fleet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Brazil rig suspensions already forced a 2026 guidance cut, and any additional operational disruptions or contract cancellations could further compress revenue and EBITDA below the $2.8B-$2.9B / $850M-$925M revised outlook [1]</w:t>
      </w:r>
    </w:p>
    <w:p>
      <w:pPr>
        <w:spacing w:before="40" w:after="40"/>
        <w:ind w:left="283"/>
      </w:pPr>
      <w:r>
        <w:rPr>
          <w:rFonts w:ascii="Calibri" w:hAnsi="Calibri"/>
          <w:b/>
          <w:color w:val="4A6B25"/>
          <w:sz w:val="20"/>
        </w:rPr>
        <w:t xml:space="preserve">2. </w:t>
      </w:r>
      <w:r>
        <w:rPr>
          <w:rFonts w:ascii="Calibri" w:hAnsi="Calibri"/>
          <w:b w:val="0"/>
          <w:color w:val="3A4A28"/>
          <w:sz w:val="20"/>
        </w:rPr>
        <w:t>Forward P/E of 45.45 with ROE of 3.28% creates a fragile valuation profile — the stock is priced for a cyclical recovery that management does not expect until H2 2027, leaving 12+ months of potential disappointment and multiple compression risk [5]</w:t>
      </w:r>
    </w:p>
    <w:p>
      <w:pPr>
        <w:spacing w:before="40" w:after="40"/>
        <w:ind w:left="283"/>
      </w:pPr>
      <w:r>
        <w:rPr>
          <w:rFonts w:ascii="Calibri" w:hAnsi="Calibri"/>
          <w:b/>
          <w:color w:val="4A6B25"/>
          <w:sz w:val="20"/>
        </w:rPr>
        <w:t xml:space="preserve">3. </w:t>
      </w:r>
      <w:r>
        <w:rPr>
          <w:rFonts w:ascii="Calibri" w:hAnsi="Calibri"/>
          <w:b w:val="0"/>
          <w:color w:val="3A4A28"/>
          <w:sz w:val="20"/>
        </w:rPr>
        <w:t>Glassdoor evidence of toxic corporate culture, management complacency, and ongoing talent attrition could undermine Diamond Offshore integration execution and operational performance across the combined fleet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Noble's core business — operating massive offshore drilling rigs in deep ocean environments — is structurally immune to AI disruption. The business requires physical heavy equipment (drillships, jackups), specialized crews, complex maritime logistics, and operates under stringent safety and environmental regulations that AI cannot substitute [1]. Offshore drilling involves real-world mechanical operations in extreme environments where physical presence and human expertise are irreplaceable. AI may increase demand for hydrocarbons through data center power needs, indirectly benefiting offshore E&amp;P activity. No analyst commentary identifies AI as a substitution risk for offshore drilling services. Noble's own AI deployment (Fennex safety technology) demonstrates that AI is an operational enhancer, not a disruptor, for this business [2]. AI Opportunity (0/1): Noble does not generate revenue from AI products or services. The Fennex AI safety platform and IFS Cloud ERP are internal operational tools that reduce costs and improve safety but do not represent an AI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Noble Corporation Q1 and Q2 2026 Earnings — Q1 Revenue $786M (-10% YoY), Net Income $121M (+12%); Q2 Revenue $719.7M (-15.2% YoY), EBITDA $212M; Backlog $7.5B; 2026 Guidance Lowered to $2.8B-$2.9B Revenue, July-August 2026</w:t>
      </w:r>
    </w:p>
    <w:p>
      <w:pPr>
        <w:spacing w:before="20" w:after="20"/>
        <w:ind w:left="170"/>
      </w:pPr>
      <w:r>
        <w:rPr>
          <w:rFonts w:ascii="Calibri" w:hAnsi="Calibri"/>
          <w:b/>
          <w:color w:val="4A6B25"/>
          <w:sz w:val="15"/>
        </w:rPr>
        <w:t xml:space="preserve">2. </w:t>
      </w:r>
      <w:r>
        <w:rPr>
          <w:rFonts w:ascii="Calibri" w:hAnsi="Calibri"/>
          <w:b w:val="0"/>
          <w:color w:val="3A4A28"/>
          <w:sz w:val="17"/>
        </w:rPr>
        <w:t>Noble Corporation Leadership/Culture/AI — Glassdoor 3.6/5 (264 Reviews), Fennex AI Safety Partnership (43% Incident Reduction), IFS Cloud ERP Upgrade, CEO Robert Eifler, Offshore Magazine, September 2026</w:t>
      </w:r>
    </w:p>
    <w:p>
      <w:pPr>
        <w:spacing w:before="20" w:after="20"/>
        <w:ind w:left="170"/>
      </w:pPr>
      <w:r>
        <w:rPr>
          <w:rFonts w:ascii="Calibri" w:hAnsi="Calibri"/>
          <w:b/>
          <w:color w:val="4A6B25"/>
          <w:sz w:val="15"/>
        </w:rPr>
        <w:t xml:space="preserve">3. </w:t>
      </w:r>
      <w:r>
        <w:rPr>
          <w:rFonts w:ascii="Calibri" w:hAnsi="Calibri"/>
          <w:b w:val="0"/>
          <w:color w:val="3A4A28"/>
          <w:sz w:val="17"/>
        </w:rPr>
        <w:t>Noble Corporation Company Overview — Mission 'Drilling to Power the World Responsibly', noblecorp.com,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Noble Corporation 2024 Sustainability Report — ESG Framework, Emissions Reduction, Responsible Energy Production, noblecorp.com, 2025</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NE Key Statistics: Forward P/E 45.45x, D/E 43%, ROE 3.28%, Profit Margin 5.19%, Dividend Yield 4.39%, Stock Price $48.08,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