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NGG</w:t>
      </w:r>
      <w:r>
        <w:rPr>
          <w:rFonts w:ascii="Calibri" w:hAnsi="Calibri"/>
          <w:b/>
          <w:color w:val="1A2010"/>
          <w:sz w:val="40"/>
        </w:rPr>
        <w:t xml:space="preserve">  National Grid plc</w:t>
      </w:r>
    </w:p>
    <w:p>
      <w:pPr>
        <w:spacing w:after="120"/>
      </w:pPr>
      <w:r>
        <w:rPr>
          <w:rFonts w:ascii="Calibri" w:hAnsi="Calibri"/>
          <w:b/>
          <w:color w:val="6E8450"/>
          <w:sz w:val="18"/>
        </w:rPr>
        <w:t>DIVIDEND SLEEVE · 2026-09-29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Regulated Electric &amp; Gas Utilities · NYSE · United Kingdom</w:t>
      </w:r>
    </w:p>
    <w:p>
      <w:pPr>
        <w:spacing w:after="80"/>
      </w:pPr>
      <w:r>
        <w:rPr>
          <w:rFonts w:ascii="Calibri" w:hAnsi="Calibri"/>
          <w:b w:val="0"/>
          <w:color w:val="3A4A28"/>
          <w:sz w:val="20"/>
        </w:rPr>
        <w:t>National Grid plc is a British multinational electricity and gas utility company operating regulated transmission and distribution networks. It owns and operates electricity and natural gas transmission networks across Great Britain and produces and supplies electricity and gas to customers in New York and Massachusetts through its US subsidiaries. Headquartered in London, the company is executing the largest five-year infrastructure investment program in its history to support grid modernization and electrification.</w:t>
      </w:r>
    </w:p>
    <w:p>
      <w:r>
        <w:rPr>
          <w:rFonts w:ascii="Calibri" w:hAnsi="Calibri"/>
          <w:b/>
          <w:color w:val="6E8450"/>
          <w:sz w:val="18"/>
        </w:rPr>
        <w:t>32,391 Employees · https://www.nationalgrid.com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National Grid has repositioned its portfolio toward pure-play regulated transmission and distribution by divesting non-core assets (Grain LNG, US gas businesses) while entering new offshore wind transmission partnerships in New York, but this is portfolio optimization rather than a business-model transformation [1]. AI Deployment (0/2): No evidence of quantified AI-driven cost savings or AI products shipped internally was found in research. Market Share (2/2): As a licensed regulated monopoly across its UK transmission and US distribution territories, National Grid holds structurally dominant, non-competitive market position by design [1]. Product Pipeline (2/2): The company has committed to a record GBP 70bn five-year capital investment program supporting ~10% annual regulated asset growth, with FY2027 guidance already specifying 13-15% underlying EPS growth [1]. R&amp;D Intensity (0/1): No evidence of above-industry-average R&amp;D spend was found; utilities typically report minimal R&amp;D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National Grid's purpose to 'bring energy to life' by enabling a fair, affordable, clean energy transition is specific and thoughtful, and CEO commentary on AI-driven demand doubling by 2030 and the need for 'bold actions to create a transmission network for tomorrow' shows leadership actively connecting strategy to the mission [2]. It has not yet been tested through multiple leadership transitions at the transformative level required for a 4. Community Impact (1/2): National Grid has joined SteelZero and ConcreteZero, pledging 50% low-emission steel and concrete use by 2030, and adopted EcoVadis for supply chain ESG assessment — general but genuine corporate sustainability commitments [3]. Employee Retention (0/2): Comparably data places the National Grid executive team in the bottom 45% of similarly sized companies, and no positive tenure/turnover data was found [2]. Insider Buying (2/2): Former CEO John Pettigrew and CFO Andrew Agg together purchased roughly GBP 3.06 million of NG shares over the trailing 24 months, meaningful net insider buying by multiple executives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Dividend-stock weighting; improved from 5 to 6 as revenue growth turned positive. D/E increased to 121.3% (from 109% at prior screen) as the record GBP 70B capital program adds debt, scoring 0.78 against the 70% target [1]. ROE of 8.4% remains well below the 15% target (score 0.56). TTM revenue growth improved materially to +2.0% (from -3.76% at prior screen) as divestitures annualize out and organic demand returns, scoring 0.73 [1][4]. The 5-year revenue CAGR remains negative at approximately -2% due to prior asset divestitures, scoring 0.20. Forward P/E compressed further to 11.4x (from 13.3x) as the stock pulled back while FY2027 EPS guidance of 13-15% growth held firm [1]. Profit margin of 18.3% approaches the 20% target (score 0.92). Dividend quality is mixed: 19 consecutive years paid (maximum score at 2x weight), but only 2 years of consecutive growth and a slightly negative 5-year growth CAGR of -0.27% reflecting the dividend rebasing necessitated by the capital program, scoring zero at 2x weight [1]. Liquidity floor: 842K avg vol × $75.24 ≈ $63.3M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National Grid plays a moderately infinite game. Its purpose around enabling the clean energy transition is genuine and increasingly central to strategy, and leadership has shown real courage by committing to a record capital program even as it pressured the dividend and drew a negative market reaction. But the company's culture metrics are middling and its competitive posture as a regulated monopoly limits how much 'worthy rival' thinking applies.</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National Grid's purpose — enabling a fair, affordable, clean energy future — is genuine and increasingly referenced in strategic communications about the energy transition and grid modernization, but it has not yet been validated across multiple leadership transitions and industry crises at the level of a defining competitive advantage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National Grid's executive team ranks in the bottom 45% of similarly sized companies on Comparably, and a CEO transition occurred in late 2025, suggesting an adequate but unexceptional trust environment without strong positive retention evidence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 a regulated monopoly, National Grid has limited direct competitors, but its industry engagement — joining SteelZero/ConcreteZero supply chain pledges and participating in cross-utility grid interconnection standards — reflects a collaborative rather than adversarial competitive posture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company has meaningfully reshaped its portfolio — divesting Grain LNG and US gas assets while entering offshore wind transmission partnerships — but this is incremental portfolio rebalancing toward its core regulated model rather than a transformative reinvention [1].</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Leadership committed to a record GBP 70bn five-year investment plan and increased capex over 20% in FY2026 even as the H2 results triggered a stock decline, and the company accepted a dividend rebasing (5yr dividend CAGR of -0.27%) rather than compromise the capital program — a clear pattern of prioritizing long-term grid capability over near-term shareholder optics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National Grid is executing the largest infrastructure investment program in its history — a record GBP 70B five-year capital plan supporting ~10% annual regulated asset growth — directly positioned to capture the AI-driven, data-center-fueled surge in electricity demand that management forecasts will double grid load by 2030 [1][2]. FY2026 underlying operating profit rose 6% to GBP 5.68B, underlying EPS grew 8% to 78.0p, and FY2027 guidance targets 13-15% EPS growth as the company steps up delivery from RIIO-T2 to RIIO-T3 [1]. The stock has pulled back 6.5% since the prior screen, compressing the forward P/E to just 11.4x — an attractive entry for a regulated utility with structural AI/electrification tailwinds and a 4.3% dividend yield [4]. As a regulated transmission and distribution monopoly across Great Britain, New York, and Massachusetts, the business is structurally immune to AI disruption and instead directly benefits from it [1][2].</w:t>
      </w:r>
    </w:p>
    <w:p>
      <w:pPr>
        <w:spacing w:after="120"/>
      </w:pPr>
      <w:r>
        <w:rPr>
          <w:rFonts w:ascii="Calibri" w:hAnsi="Calibri"/>
          <w:b w:val="0"/>
          <w:color w:val="3A4A28"/>
          <w:sz w:val="20"/>
        </w:rPr>
        <w:t>The primary offsets are balance sheet strain and dividend quality: D/E has risen to 121.3% (from 109% at prior screen) as the capital program accelerates, ROE of 8.4% remains well below the 15% benchmark, and the 5-year dividend growth CAGR is slightly negative (-0.27%) reflecting a rebasing that prioritized capex over income growth [1]. Revenue has contracted over the trailing five years (~-2% CAGR) due to prior asset divestitures, though TTM revenue growth has turned positive at +2.0% and organic demand is recovering. Heavy capex has produced negative free cash flow, meaning execution risk on the GBP 70B program is the central variable determining whether asset growth translates into durable earnings growth. Regulatory outcomes in the UK's RIIO-T3 price control framework and US state rate cases remain the key swing factor for realized returns on this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GBP 70bn five-year capital investment program executing on schedule, translating ~10% annual regulated asset growth into the guided 13-15% FY2027 underlying EPS growth</w:t>
      </w:r>
    </w:p>
    <w:p>
      <w:pPr>
        <w:spacing w:before="40" w:after="40"/>
        <w:ind w:left="283"/>
      </w:pPr>
      <w:r>
        <w:rPr>
          <w:rFonts w:ascii="Calibri" w:hAnsi="Calibri"/>
          <w:b/>
          <w:color w:val="4A6B25"/>
          <w:sz w:val="20"/>
        </w:rPr>
        <w:t xml:space="preserve">2. </w:t>
      </w:r>
      <w:r>
        <w:rPr>
          <w:rFonts w:ascii="Calibri" w:hAnsi="Calibri"/>
          <w:b w:val="0"/>
          <w:color w:val="3A4A28"/>
          <w:sz w:val="20"/>
        </w:rPr>
        <w:t>AI and data-center driven electricity demand growth (forecast to double UK/US grid load by 2030) creating sustained regulatory support for accelerated transmission and distribution investment</w:t>
      </w:r>
    </w:p>
    <w:p>
      <w:pPr>
        <w:spacing w:before="40" w:after="40"/>
        <w:ind w:left="283"/>
      </w:pPr>
      <w:r>
        <w:rPr>
          <w:rFonts w:ascii="Calibri" w:hAnsi="Calibri"/>
          <w:b/>
          <w:color w:val="4A6B25"/>
          <w:sz w:val="20"/>
        </w:rPr>
        <w:t xml:space="preserve">3. </w:t>
      </w:r>
      <w:r>
        <w:rPr>
          <w:rFonts w:ascii="Calibri" w:hAnsi="Calibri"/>
          <w:b w:val="0"/>
          <w:color w:val="3A4A28"/>
          <w:sz w:val="20"/>
        </w:rPr>
        <w:t>Continued insider buying by senior executives signaling confidence as the company transitions to a new CEO following Pettigrew's November 2025 departure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leverage (D/E 109%) and negative free cash flow from the capex program increase sensitivity to interest rate and regulatory allowed-return changes</w:t>
      </w:r>
    </w:p>
    <w:p>
      <w:pPr>
        <w:spacing w:before="40" w:after="40"/>
        <w:ind w:left="283"/>
      </w:pPr>
      <w:r>
        <w:rPr>
          <w:rFonts w:ascii="Calibri" w:hAnsi="Calibri"/>
          <w:b/>
          <w:color w:val="4A6B25"/>
          <w:sz w:val="20"/>
        </w:rPr>
        <w:t xml:space="preserve">2. </w:t>
      </w:r>
      <w:r>
        <w:rPr>
          <w:rFonts w:ascii="Calibri" w:hAnsi="Calibri"/>
          <w:b w:val="0"/>
          <w:color w:val="3A4A28"/>
          <w:sz w:val="20"/>
        </w:rPr>
        <w:t>Payout ratio near 75% with a negative 5-year dividend growth CAGR (-0.27%) signals limited near-term dividend growth capacity for income-focused holders</w:t>
      </w:r>
    </w:p>
    <w:p>
      <w:pPr>
        <w:spacing w:before="40" w:after="40"/>
        <w:ind w:left="283"/>
      </w:pPr>
      <w:r>
        <w:rPr>
          <w:rFonts w:ascii="Calibri" w:hAnsi="Calibri"/>
          <w:b/>
          <w:color w:val="4A6B25"/>
          <w:sz w:val="20"/>
        </w:rPr>
        <w:t xml:space="preserve">3. </w:t>
      </w:r>
      <w:r>
        <w:rPr>
          <w:rFonts w:ascii="Calibri" w:hAnsi="Calibri"/>
          <w:b w:val="0"/>
          <w:color w:val="3A4A28"/>
          <w:sz w:val="20"/>
        </w:rPr>
        <w:t>Execution risk on the record GBP 70bn investment plan — cost overruns, supply chain bottlenecks (30% power transformer shortfall projected industry-wide), or adverse UK/US rate-case outcomes could compress realized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National Grid's core business — owning and operating regulated transmission and distribution infrastructure — is a physical, capital-intensive, heavily regulated natural monopoly that AI structurally cannot displace or substitute [2]. If anything, the AI data-center buildout is a direct demand tailwind: former CEO Pettigrew stated data-center power usage could increase six-fold over the next decade, and grid demand is 'growing dramatically,' forecast to double by 2030 as electrification accelerates [2]. NERC and industry analysts have flagged AI-driven demand as a grid stability challenge, but this reinforces National Grid's role as essential infrastructure rather than threatening its earnings. AI Opportunity (1/1): The GBP 70bn five-year investment program is explicitly sized around AI and data-center-driven demand growth, positioning National Grid to capture elevated regulated asset growth (targeting ~10% annually) directly from the AI buildout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National Grid FY2026 Full Year Results Statement — Investegate/nationalgrid.com, May 2026; Revenue and EBITDA guidance</w:t>
      </w:r>
    </w:p>
    <w:p>
      <w:pPr>
        <w:spacing w:before="20" w:after="20"/>
        <w:ind w:left="170"/>
      </w:pPr>
      <w:r>
        <w:rPr>
          <w:rFonts w:ascii="Calibri" w:hAnsi="Calibri"/>
          <w:b/>
          <w:color w:val="4A6B25"/>
          <w:sz w:val="15"/>
        </w:rPr>
        <w:t xml:space="preserve">2. </w:t>
      </w:r>
      <w:r>
        <w:rPr>
          <w:rFonts w:ascii="Calibri" w:hAnsi="Calibri"/>
          <w:b w:val="0"/>
          <w:color w:val="3A4A28"/>
          <w:sz w:val="17"/>
        </w:rPr>
        <w:t>National Grid FY2026 Full Year Results and CEO Commentary on AI/Data Center Demand — Bloomberg, Investing.com, Techerati, 2026</w:t>
      </w:r>
    </w:p>
    <w:p>
      <w:pPr>
        <w:spacing w:before="20" w:after="20"/>
        <w:ind w:left="170"/>
      </w:pPr>
      <w:r>
        <w:rPr>
          <w:rFonts w:ascii="Calibri" w:hAnsi="Calibri"/>
          <w:b/>
          <w:color w:val="4A6B25"/>
          <w:sz w:val="15"/>
        </w:rPr>
        <w:t xml:space="preserve">3. </w:t>
      </w:r>
      <w:r>
        <w:rPr>
          <w:rFonts w:ascii="Calibri" w:hAnsi="Calibri"/>
          <w:b w:val="0"/>
          <w:color w:val="3A4A28"/>
          <w:sz w:val="17"/>
        </w:rPr>
        <w:t>National Grid ESG Reporting Centre, Responsible Business Charter, and SteelZero/ConcreteZero Commitments — nationalgrid.com,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data for NGG,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