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NI</w:t>
      </w:r>
      <w:r>
        <w:rPr>
          <w:rFonts w:ascii="Calibri" w:hAnsi="Calibri"/>
          <w:b/>
          <w:color w:val="1A2010"/>
          <w:sz w:val="40"/>
        </w:rPr>
        <w:t xml:space="preserve">  NiSource Inc.</w:t>
      </w:r>
    </w:p>
    <w:p>
      <w:pPr>
        <w:spacing w:after="120"/>
      </w:pPr>
      <w:r>
        <w:rPr>
          <w:rFonts w:ascii="Calibri" w:hAnsi="Calibri"/>
          <w:b/>
          <w:color w:val="6E8450"/>
          <w:sz w:val="18"/>
        </w:rPr>
        <w:t>DIVIDEND SLEEVE · 2026-08-30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Utilities · Utilities - Regulated Gas · NYSE · United States</w:t>
      </w:r>
    </w:p>
    <w:p>
      <w:pPr>
        <w:spacing w:after="80"/>
      </w:pPr>
      <w:r>
        <w:rPr>
          <w:rFonts w:ascii="Calibri" w:hAnsi="Calibri"/>
          <w:b w:val="0"/>
          <w:color w:val="3A4A28"/>
          <w:sz w:val="20"/>
        </w:rPr>
        <w:t>NiSource Inc. is one of the largest fully regulated utility companies in the United States, serving approximately 3.2 million natural gas customers and 500,000 electric customers across six states through its Columbia Gas and NIPSCO brands. The company operates natural gas distribution networks in Ohio, Pennsylvania, Virginia, Kentucky, Maryland, and Indiana, and electric generation and distribution in northern Indiana. NiSource is pivoting toward data center infrastructure, with a $28.6B capex plan for 2026-2030 including $7.6B in strategic data center investments backed by expanded Amazon and Alphabet partnerships. Q2 2026 revenue reached $1.28B, beating estimates. Headquartered in Merrillville, Indiana.</w:t>
      </w:r>
    </w:p>
    <w:p>
      <w:r>
        <w:rPr>
          <w:rFonts w:ascii="Calibri" w:hAnsi="Calibri"/>
          <w:b/>
          <w:color w:val="6E8450"/>
          <w:sz w:val="18"/>
        </w:rPr>
        <w:t>7,500 Employees · https://www.nisource.com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NiSource has evolved from a traditional gas-and-electric utility into a data center infrastructure provider over the past five years. The company secured Indiana Utility Regulatory Commission approval for Amazon-backed data center agreements in northern Indiana, and expanded partnerships with both Amazon and Alphabet in 2026, generating $1.4 billion in customer savings [1]. However, this represents an extension of core utility capabilities rather than a transformative business model pivot. AI Deployment (0/2): No AI-powered products or services deployed to customers. No quantified AI-driven internal efficiency gains reported. Market Share (1/2): NiSource serves 3.2 million natural gas customers and 500,000 electric customers across six states, making it one of the largest fully regulated utility companies in the United States [1]. Regulated utility territories provide a natural monopoly with stable, defensible market position. Product Pipeline (2/2): The $28.6B capital expenditure plan for 2026-2030 includes $21B of base plan investments and $7.6B specifically earmarked for strategic data center infrastructure, with expanded Amazon and Alphabet partnerships providing concrete revenue visibility [1]. The consolidated adjusted EPS CAGR guidance of 9-10% through 2033 signals long-term earnings visibility driven by infrastructure build-out. R&amp;D Intensity (0/1): Utilities do not typically invest in R&amp;D at rates comparable to technology companies, and no evidence of above-industry research spending was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NiSource's purpose centers on delivering safe, reliable, and affordable energy to communities across six states. This is a clear and functional mission that identifies the company's role and stakeholders, but is interchangeable with virtually any regulated utility in the country. It does not articulate a distinctive vision of a better future beyond basic service delivery. Community Impact (1/2): NiSource has been named to the Dow Jones Sustainability Indices for 10 consecutive years and was recognized as one of TIME Magazine's World's Best Companies [3]. The company has invested in safety modernization since the 2018 Merrimack Valley gas explosions, though the disaster itself — which destroyed 80 homes, injured 25 people, and killed one person due to 'flagrant indifference in the face of extreme risk' — represents a catastrophic failure of community stewardship [3]. The $53M criminal fine, $143M settlement, and $83M paid to municipalities demonstrate the severity. Employee Retention (0/2): No specific retention data, average tenure, or voluntary turnover information available for NiSource. Insider Buying (0/2): No insider buying data was identified for 2026.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Dividend stock. NiSource delivered Q2 2026 revenue of $1.28B, beating estimates of $1.25B, and reaffirmed full-year EPS guidance of $2.02-$2.07 [1]. Forward P/E of 22.16 scores 0.946 against the 20 target — a modest premium justified by 9-10% EPS CAGR visibility through 2033 [4]. D/E of approximately 159% is elevated but typical for regulated utilities that fund infrastructure through rate-recovered debt [4]. ROE of 9.11% and profit margin of 14.1% are solid for the utility sector, scoring 0.61 and 0.71 respectively [4]. Revenue growth of approximately 5% YoY and 5.4% five-year CAGR are below the 10% target but respectable for a regulated utility. The dividend profile is strong: $1.20 annual dividend ($0.30/quarter) with 2.62% yield, approximately 20 consecutive years paid (2x weight), 10+ consecutive years of growth, and 6.4% five-year dividend growth CAGR (2x weight), all at or above targets [5]. The $28.6B capex plan funded by rate-recovered investments provides exceptional infrastructure growth visibility.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NiSource presents a mixed infinite game picture. The company has served communities for over 100 years and is investing $28.6B in long-term infrastructure through 2030, reflecting genuine long-term thinking. However, the 2018 Merrimack Valley gas explosions — which NTSB attributed to 'weak engineering management' and 'flagrant indifference to risk' at Columbia Gas — represent a catastrophic failure of the trust that Sinek considers foundational to infinite game play. The company has since reformed, divested the Massachusetts subsidiary, and invested in safety, but the incident reveals a gap between stated values and executed culture. The mission is functional but not distinctive, and competitive positioning is defined by territorial monopoly rather than worthy rival dynamics.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NiSource's stated purpose of delivering safe, reliable, affordable energy is functionally necessary but not distinctive — it is the default mission of every regulated utility in America. Sinek would note that this is a description of what the company does, not a vision of a future worth sacrificing for. The 2018 Columbia Gas explosions, where NTSB found 'weak engineering management' and Columbia Gas pled guilty to 'flagrant indifference in the face of extreme risk to life and property,' demonstrated that even basic safety was not consistently prioritized [3]. While the company has reformed since 2018, the incident reveals a cause that was shallow enough for leadership to deprioritize when it conflicted with operational expediency.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NiSource has been named one of TIME's World's Best Companies and to the DJSI for 10 consecutive years, indicating improved organizational credibility [3]. Leadership stability under CEO Lloyd Yates has provided continuity. However, the NTSB's finding of 'weak engineering management' at Columbia Gas — which contributed to the disaster that killed one person and destroyed 80 homes — represents a historical trust deficit that the organization is still recovering from [3]. Current employee satisfaction metrics were not available to assess the present state of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As a regulated utility with territorial monopolies, NiSource does not compete in a traditional market and has limited exposure to competitive dynamics. No evidence was found of management commentary acknowledging competitors' strengths or using competitive pressure as motivation for improvement. The company's competitive positioning is defined by regulatory approval and territory, not by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NiSource has demonstrated meaningful strategic adaptation: separating from Columbia Pipeline Partners, divesting Columbia Gas of Massachusetts after the explosion, and pivoting toward data center infrastructure as a new growth vector with expanded Amazon and Alphabet partnerships [1]. The $7.6B data center investment represents a genuine evolution of the utility business model from pure commodity delivery to strategic infrastructure partnership for the AI economy. These adaptations are significant for a regulated utility, though they represent incremental evolution of the core model rather than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NiSource has made meaningful long-term capital allocation decisions: the $28.6B capex plan through 2030, the $7.6B data center infrastructure investment with Amazon and Alphabet, and the decision to divest Columbia Gas of Massachusetts after the explosion rather than attempt to repair the subsidiary's reputation [1]. Raising the EPS CAGR guidance to 9-10% through 2033 signals confidence in long-term infrastructure investment. These represent genuine long-term bets. However, for a regulated utility with guaranteed rate recovery on capital investments, these decisions carry less risk than they would for an unregulated company — ratepayers ultimately fund the capex.</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NiSource is a large-cap regulated utility delivering steady growth with a clear long-term investment thesis: $28.6B in rate-recovered capital expenditures through 2030, including $7.6B earmarked for strategic data center infrastructure anchored by expanded Amazon and Alphabet partnerships [1]. Q2 2026 revenue of $1.28B beat estimates, and the company reaffirmed EPS guidance of $2.02-$2.07 with a consolidated adjusted EPS CAGR of 9-10% through 2033 [1]. The 2.62% dividend yield with 10+ consecutive years of growth at a 6.4% five-year CAGR offers reliable income, and the company's designation as one of TIME's World's Best Companies and 10 consecutive years on the DJSI validate institutional quality [3]. NiSource is essentially immune to AI disruption while actively benefiting from AI-driven electricity demand through data center partnerships — a rare defensive-growth combination.</w:t>
      </w:r>
    </w:p>
    <w:p>
      <w:pPr>
        <w:spacing w:after="120"/>
      </w:pPr>
      <w:r>
        <w:rPr>
          <w:rFonts w:ascii="Calibri" w:hAnsi="Calibri"/>
          <w:b w:val="0"/>
          <w:color w:val="3A4A28"/>
          <w:sz w:val="20"/>
        </w:rPr>
        <w:t>The bear case centers on NiSource's elevated leverage at approximately 159% D/E and the 58.5% payout ratio, which constrain financial flexibility if interest rates remain elevated or regulatory rate cases are denied [4]. The 2018 Merrimack Valley gas explosions — which resulted in a $53M criminal fine, $143M settlement, and $83M in municipal payments after Columbia Gas pled guilty to 'flagrant indifference' — represent a lasting reputational liability and reminder that safety failures can be catastrophic for utility operators [3]. At a forward P/E of 22.16, the stock trades at a premium to the utility sector average, leaving limited margin of safety if the data center growth thesis disappoints or if regulatory approvals for the $28.6B capex plan face delays. Revenue growth of approximately 5% YoY and 5.4% five-year CAGR are below the infrastructure scoring targets, reflecting inherent limitations of regulated utility returns. The Inspire Impact Score of 62 (ALIGNED) with 17 positive attributions and zero negatives is favorable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Execution on the $7.6B data center infrastructure investment with expanded Amazon and Alphabet partnerships in northern Indiana, establishing NiSource as a leading utility partner for AI-driven electricity demand growth [1]</w:t>
      </w:r>
    </w:p>
    <w:p>
      <w:pPr>
        <w:spacing w:before="40" w:after="40"/>
        <w:ind w:left="283"/>
      </w:pPr>
      <w:r>
        <w:rPr>
          <w:rFonts w:ascii="Calibri" w:hAnsi="Calibri"/>
          <w:b/>
          <w:color w:val="4A6B25"/>
          <w:sz w:val="20"/>
        </w:rPr>
        <w:t xml:space="preserve">2. </w:t>
      </w:r>
      <w:r>
        <w:rPr>
          <w:rFonts w:ascii="Calibri" w:hAnsi="Calibri"/>
          <w:b w:val="0"/>
          <w:color w:val="3A4A28"/>
          <w:sz w:val="20"/>
        </w:rPr>
        <w:t>Successful rate case outcomes across six states supporting the $28.6B capex plan through 2030, with each regulatory approval de-risking the 9-10% EPS CAGR guidance through 2033 [1]</w:t>
      </w:r>
    </w:p>
    <w:p>
      <w:pPr>
        <w:spacing w:before="40" w:after="40"/>
        <w:ind w:left="283"/>
      </w:pPr>
      <w:r>
        <w:rPr>
          <w:rFonts w:ascii="Calibri" w:hAnsi="Calibri"/>
          <w:b/>
          <w:color w:val="4A6B25"/>
          <w:sz w:val="20"/>
        </w:rPr>
        <w:t xml:space="preserve">3. </w:t>
      </w:r>
      <w:r>
        <w:rPr>
          <w:rFonts w:ascii="Calibri" w:hAnsi="Calibri"/>
          <w:b w:val="0"/>
          <w:color w:val="3A4A28"/>
          <w:sz w:val="20"/>
        </w:rPr>
        <w:t>Continued dividend growth near 6% CAGR, with the 10+ year growth streak and 2.62% yield attracting income-focused institutional capital and supporting total return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approximately 159% exposes NiSource to interest rate risk — sustained elevated rates increase debt service costs on the company's substantial infrastructure-financing obligations [4]</w:t>
      </w:r>
    </w:p>
    <w:p>
      <w:pPr>
        <w:spacing w:before="40" w:after="40"/>
        <w:ind w:left="283"/>
      </w:pPr>
      <w:r>
        <w:rPr>
          <w:rFonts w:ascii="Calibri" w:hAnsi="Calibri"/>
          <w:b/>
          <w:color w:val="4A6B25"/>
          <w:sz w:val="20"/>
        </w:rPr>
        <w:t xml:space="preserve">2. </w:t>
      </w:r>
      <w:r>
        <w:rPr>
          <w:rFonts w:ascii="Calibri" w:hAnsi="Calibri"/>
          <w:b w:val="0"/>
          <w:color w:val="3A4A28"/>
          <w:sz w:val="20"/>
        </w:rPr>
        <w:t>Regulatory risk across six state utility commissions: denial or delay of rate recovery on any portion of the $28.6B capex plan would directly impair the 9-10% EPS CAGR trajectory [1]</w:t>
      </w:r>
    </w:p>
    <w:p>
      <w:pPr>
        <w:spacing w:before="40" w:after="40"/>
        <w:ind w:left="283"/>
      </w:pPr>
      <w:r>
        <w:rPr>
          <w:rFonts w:ascii="Calibri" w:hAnsi="Calibri"/>
          <w:b/>
          <w:color w:val="4A6B25"/>
          <w:sz w:val="20"/>
        </w:rPr>
        <w:t xml:space="preserve">3. </w:t>
      </w:r>
      <w:r>
        <w:rPr>
          <w:rFonts w:ascii="Calibri" w:hAnsi="Calibri"/>
          <w:b w:val="0"/>
          <w:color w:val="3A4A28"/>
          <w:sz w:val="20"/>
        </w:rPr>
        <w:t>Reputational overhang from the 2018 Merrimack Valley explosions persists — any future safety incident would compound the legacy liability and could trigger regulatory penalties or operating restrictions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NiSource's core business of regulated natural gas distribution and electric generation is structurally immune to AI disruption. Physical gas pipelines, electric transmission infrastructure, and power generation assets cannot be digitized or replaced by AI [1]. The business is protected by regulated territorial monopolies, state utility commission oversight, and rate-recovery mechanisms that ensure predictable returns on invested capital. Moreover, AI is actively increasing demand for NiSource's services — the expanded Amazon and Alphabet data center partnerships in northern Indiana demonstrate that the AI revolution requires massive new electricity infrastructure, directly benefiting utilities [1]. AI Opportunity (1/1): NiSource is generating quantifiable revenue from AI-related infrastructure. The $7.6B earmarked for data center investments with Amazon and Alphabet are directly driven by AI compute demand, and Q2 2026 results highlighted 'NIPSCO Gains, Data Center Demand' as key revenue drivers [1]. The expanded Alphabet partnership and $1.4B in customer savings further demonstrate AI-driven infrastructure revenue flowing to NiSource's NIPSCO subsidiary.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NiSource Q2 2026 Results — Revenue $1.28B (beat $1.25B estimate), EPS Guidance Reaffirmed $2.02-$2.07, $28.6B Capital Plan ($21B Base + $7.6B Data Center), 9-10% EPS CAGR Through 2033, Expanded Amazon/Alphabet Partnerships, $1.4B Customer Savings, August 2026</w:t>
      </w:r>
    </w:p>
    <w:p>
      <w:pPr>
        <w:spacing w:before="20" w:after="20"/>
        <w:ind w:left="170"/>
      </w:pPr>
      <w:r>
        <w:rPr>
          <w:rFonts w:ascii="Calibri" w:hAnsi="Calibri"/>
          <w:b/>
          <w:color w:val="4A6B25"/>
          <w:sz w:val="15"/>
        </w:rPr>
        <w:t xml:space="preserve">2. </w:t>
      </w:r>
      <w:r>
        <w:rPr>
          <w:rFonts w:ascii="Calibri" w:hAnsi="Calibri"/>
          <w:b w:val="0"/>
          <w:color w:val="3A4A28"/>
          <w:sz w:val="17"/>
        </w:rPr>
        <w:t>NiSource Leadership — CEO Lloyd Yates, Organizational Development, nisource.com 2025-2026</w:t>
      </w:r>
    </w:p>
    <w:p>
      <w:pPr>
        <w:spacing w:before="20" w:after="20"/>
        <w:ind w:left="170"/>
      </w:pPr>
      <w:r>
        <w:rPr>
          <w:rFonts w:ascii="Calibri" w:hAnsi="Calibri"/>
          <w:b/>
          <w:color w:val="4A6B25"/>
          <w:sz w:val="15"/>
        </w:rPr>
        <w:t xml:space="preserve">3. </w:t>
      </w:r>
      <w:r>
        <w:rPr>
          <w:rFonts w:ascii="Calibri" w:hAnsi="Calibri"/>
          <w:b w:val="0"/>
          <w:color w:val="3A4A28"/>
          <w:sz w:val="17"/>
        </w:rPr>
        <w:t>NiSource ESG &amp; Safety History — DJSI 10 Consecutive Years, TIME World's Best Companies, 2018 Merrimack Valley Explosions ($53M Fine, $143M Settlement), Sustainalytics ESG Rating, 2019-2026</w:t>
      </w:r>
    </w:p>
    <w:p>
      <w:pPr>
        <w:spacing w:before="20" w:after="20"/>
        <w:ind w:left="170"/>
      </w:pPr>
      <w:r>
        <w:rPr>
          <w:rFonts w:ascii="Calibri" w:hAnsi="Calibri"/>
          <w:b/>
          <w:color w:val="4A6B25"/>
          <w:sz w:val="15"/>
        </w:rPr>
        <w:t xml:space="preserve">4. </w:t>
      </w:r>
      <w:r>
        <w:rPr>
          <w:rFonts w:ascii="Calibri" w:hAnsi="Calibri"/>
          <w:b w:val="0"/>
          <w:color w:val="3A4A28"/>
          <w:sz w:val="17"/>
        </w:rPr>
        <w:t>StockAnalysis — NI Statistics: Forward P/E 22.16, ROE 9.11%, D/E ~159%, Profit Margin 14.1%, Revenue $6.82B TTM,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NiSource Dividend — $0.30/Quarter ($1.20/Year), Yield 2.62%, 10+ Consecutive Years Growth, 6.4% 5yr Div Growth CAGR, ~6% Annual Growth Expected,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