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NLY</w:t>
      </w:r>
      <w:r>
        <w:rPr>
          <w:rFonts w:ascii="Calibri" w:hAnsi="Calibri"/>
          <w:b/>
          <w:color w:val="1A2010"/>
          <w:sz w:val="40"/>
        </w:rPr>
        <w:t xml:space="preserve">  Annaly Capital Management, Inc.</w:t>
      </w:r>
    </w:p>
    <w:p>
      <w:pPr>
        <w:spacing w:after="120"/>
      </w:pPr>
      <w:r>
        <w:rPr>
          <w:rFonts w:ascii="Calibri" w:hAnsi="Calibri"/>
          <w:b/>
          <w:color w:val="6E8450"/>
          <w:sz w:val="18"/>
        </w:rPr>
        <w:t>DIVIDEND SLEEVE · 2026-10-10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Annaly Capital Management is the largest mortgage REIT, investing in agency mortgage-backed securities, non-agency residential whole loans, mortgage servicing rights, and credit risk transfer securities. Founded in 1996 and headquartered in New York. Q2 2026 delivered EAD of $0.79/share (beating estimates) and book value per share of $20.15. The dividend was raised to $0.75/quarter. Record $7.1B in residential credit loan purchases. TTM revenue of $3.25B with 90.7% profit margin. Market cap of $13.8B at $18.30/share.</w:t>
      </w:r>
    </w:p>
    <w:p>
      <w:r>
        <w:rPr>
          <w:rFonts w:ascii="Calibri" w:hAnsi="Calibri"/>
          <w:b/>
          <w:color w:val="6E8450"/>
          <w:sz w:val="18"/>
        </w:rPr>
        <w:t>212 Employees · https://www.annaly.com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Annaly has operated as a mortgage REIT since its 1996 founding with no meaningful product launches, business model pivots, or transformative innovations — the core strategy of leveraging agency MBS spreads has remained essentially unchanged for three decades [2]. The expansion into residential credit and MSR represents portfolio diversification but not business model transformation. AI Deployment (0/2): No AI-powered products or services. CTO Don Choe leads technology initiatives including cybersecurity, data management, and analytics, but these are internal operational tools rather than customer-facing AI deployments generating quantifiable savings [2]. Market Share (2/2): Annaly is the largest mortgage REIT by market cap and total assets (~$135B), a clear category leader in agency MBS investing with unmatched scale [4]. The ability to execute record $7.1B in residential credit loan purchases in Q2 2026 demonstrates scale advantage [1]. Pipeline (0/2): No next-generation products or innovations in development. Growth comes through portfolio positioning and capital deployment. R&amp;D Intensity (0/1): As a financial company with 212 employees, Annaly has no R&amp;D spend.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Annaly's purpose is generic financial intermediation — managing capital for shareholders through mortgage investments. CEO Finkelstein's commentary references housing finance leadership and an optimistic macroeconomic outlook, but does not articulate a transformative vision beyond generating returns through spread investing [2]. Community Impact (1/2): Annaly publishes ESG reports with SASB/GRI/TCFD disclosures and has offset 100% of Scope 1 and Scope 2 GHG emissions, with enhanced parental leave and fertility reimbursement benefits [3]. These are genuine commitments but modest in scale for a $13.8B company with only 212 employees. Employee Retention (1/2): 96% of Annaly employees feel the company is committed to exceeding shareholder expectations per Comparably data (vs 88% Financial Services average), suggesting an engaged workforce [2]. COO Steven Campbell was elevated to President, indicating internal advancement pathways. However, no specific tenure or Glassdoor data is available. Insider Buying (0/2): No evidence of meaningful net insider buying by CEO Finkelstein or other executives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ROE of 19.6% exceeds the 15% target (score 1.0, 1x weight), profit margin of 90.7% reflects the low-cost mREIT operating model (score 1.0, 1x weight), and forward P/E of 5.89 is well below the 20 target (score 1.0, 1x weight) [4]. Revenue growth YoY of 479% reflects interest rate-driven MBS valuation swings rather than organic growth but scores mechanically (1.0, 1x weight). 5yr revenue CAGR of approximately 4.7% is below the 10% target (score 0.65, 1x weight). D/E of 737.5% far exceeds the 300% floor (score 0.0, 1x weight) — this leverage is structural for a mortgage REIT using ~7x GAAP leverage by design, but the algorithm applies mechanically [4]. Dividend metrics: payout ratio of 69.9% above the 40% target (score 0.50, 1x weight), consecutive years paid ~29 since 1997 exceeds the 10-year target (score 1.0, 2x weight), consecutive years growth ~3 falls short (score 0.30, 1x weight), and 5-year dividend growth CAGR of approximately 25% — recovering from the deeply depressed $0.22/quarter in 2021 to current $0.75/quarter — exceeds the 6% target (score 1.0, 2x weight). Weighted sum 8.45 / max 11.0 (excl. unavailable 5yr rev CAGR) = 7.7, rounded to 8. Liquidity is strong: 9.31M avg vol x $18.30 = $170M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Annaly's 30-year operating history and status as the largest mortgage REIT demonstrate staying power, but the business model is fundamentally financial intermediation — borrowing short and lending long — driven by interest rate spreads rather than a transformative purpose. The dividend raise to $0.75/quarter after 9 consecutive quarters of EAD coverage shows improving discipline, but the history of multiple cuts reflects finite-game pressure to maintain payouts when economics don't support them. CEO Finkelstein's tenure and Steven Campbell's promotion to President provide leadership stability.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Annaly's purpose is generating returns for shareholders through mortgage spread investing. While the company provides liquidity to the housing finance system, this is not articulated as a cause that inspires beyond financial returns [2]. The 30-year operating history shows commitment to the financial model, but commitment to a model is not commitment to a Just Cause. There is no transformative vision that would motivate sacrifice or outlast individual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With only 212 employees, Annaly operates as a tight-knit team where individual contributions are highly visible [2]. The 96% employee score on commitment to shareholder expectations (vs 88% Financial Services average) suggests an engaged workforce. CEO Finkelstein's 6+ year tenure and COO Campbell's promotion to President indicate leadership stability and internal advancement pathways. Enhanced benefits including parental leave and fertility reimbursement reflect investment in employee welfare [3]. However, no Glassdoor data, turnover rates, or specific tenure metrics are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Annaly competes against AGNC Investment, Starwood Property Trust, and other mortgage REITs in a market where competitors' strategies inform portfolio decisions. Management's approach — maintaining the largest scale position while diversifying into credit and MSRs — reflects strategic awareness rather than a zero-sum mentality [1]. The company benchmarks its performance against peers constructively rather than combatively.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Annaly has diversified beyond pure agency MBS into residential credit ($7.1B record purchases in Q2 2026), mortgage servicing rights, and credit risk transfer securities, adapting its portfolio to the changing rate environment [1]. The MSR business provides a natural hedge against rising rates, demonstrating strategic adaptation. However, the core business model — leveraged spread investing in mortgage-related assets — has not fundamentally changed since 1996.</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consecutive dividend increases from $0.65 to $0.70 to $0.75 quarterly, after years of cuts, demonstrate management's willingness to rebuild credibility — but only after 9 consecutive quarters of EAD exceeding the dividend proved the economics were sustainable [1]. The aggressive push into residential credit ($7.1B in Q2 alone) deploys capital into higher-risk, higher-return assets that diversify away from agency-only. However, prior dividend cuts from historical levels reflect the reactive nature of mortgage REIT management.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Annaly Capital Management at 5.89x forward earnings with a 16.4% dividend yield, 29 consecutive years of payments, and improving earnings trajectory offers deep income value as the largest mortgage REIT with $135B+ in assets [4]. Q2 2026 delivered EAD of $0.79/share (beating estimates), book value per share of $20.15 (+1.7% QoQ), and the ninth consecutive quarter of earnings exceeding the dividend [1]. The dividend raise to $0.75/quarter signals management confidence in sustained spread economics. Record $7.1B in residential credit loan purchases diversifies beyond pure agency MBS, adding higher-yielding assets. ROE of 19.6% exceeds targets, and the stock trades at just $18.30 — a 9.2% discount to book value of $20.15 [1][4]. The 5-year dividend growth CAGR of ~25% reflects recovery from deeply depressed post-COVID levels, and the Inspire Insight score of 54 (ALIGNED) with 9 positive attributions confirms clean ESG practices [3].</w:t>
      </w:r>
    </w:p>
    <w:p>
      <w:pPr>
        <w:spacing w:after="120"/>
      </w:pPr>
      <w:r>
        <w:rPr>
          <w:rFonts w:ascii="Calibri" w:hAnsi="Calibri"/>
          <w:b w:val="0"/>
          <w:color w:val="3A4A28"/>
          <w:sz w:val="20"/>
        </w:rPr>
        <w:t>The bear case centers on structural leverage risk, price decline, and interest rate sensitivity. The stock has fallen 25% from its 52-week high of $24.52 to $18.30, reflecting market concern about rate environment normalization and mREIT sustainability [4]. D/E of 737.5% — while structural for mortgage REITs — means Annaly is a leveraged bet on interest rate spreads, and any yield curve flattening or spike in short-term funding costs could rapidly compress net interest income. The revenue growth of 479% YoY is driven by MBS valuation swings rather than organic growth and cannot be extrapolated. The PEG ratio of 32.03 (effectively meaningless for an mREIT) and the history of multiple dividend cuts over the past decade undermine the income thesis despite the current recovery [4]. At a 69.9% payout ratio, the dividend is covered but with limited cushion — EAD of $0.79 vs dividend of $0.75 provides only 105% coverage. With $125B+ in repo-funded mortgage assets, any disruption to funding markets could create forced selling at distressed prices. Total return performance for mREITs has historically underperformed simpler fixed-income alternatives over full rate cycles.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Dividend raise to $0.75/quarter with 9 consecutive quarters of earnings coverage signals sustainable income growth, and trading below book value ($18.30 vs $20.15) offers potential for price recovery if rate environment normalizes favorably [1]</w:t>
      </w:r>
    </w:p>
    <w:p>
      <w:pPr>
        <w:spacing w:before="40" w:after="40"/>
        <w:ind w:left="283"/>
      </w:pPr>
      <w:r>
        <w:rPr>
          <w:rFonts w:ascii="Calibri" w:hAnsi="Calibri"/>
          <w:b/>
          <w:color w:val="4A6B25"/>
          <w:sz w:val="20"/>
        </w:rPr>
        <w:t xml:space="preserve">2. </w:t>
      </w:r>
      <w:r>
        <w:rPr>
          <w:rFonts w:ascii="Calibri" w:hAnsi="Calibri"/>
          <w:b w:val="0"/>
          <w:color w:val="3A4A28"/>
          <w:sz w:val="20"/>
        </w:rPr>
        <w:t>Record $7.1B residential credit purchases in Q2 2026 diversify the portfolio into higher-yielding assets and reduce agency-only concentration, potentially improving risk-adjusted returns and book value stability [1]</w:t>
      </w:r>
    </w:p>
    <w:p>
      <w:pPr>
        <w:spacing w:before="40" w:after="40"/>
        <w:ind w:left="283"/>
      </w:pPr>
      <w:r>
        <w:rPr>
          <w:rFonts w:ascii="Calibri" w:hAnsi="Calibri"/>
          <w:b/>
          <w:color w:val="4A6B25"/>
          <w:sz w:val="20"/>
        </w:rPr>
        <w:t xml:space="preserve">3. </w:t>
      </w:r>
      <w:r>
        <w:rPr>
          <w:rFonts w:ascii="Calibri" w:hAnsi="Calibri"/>
          <w:b w:val="0"/>
          <w:color w:val="3A4A28"/>
          <w:sz w:val="20"/>
        </w:rPr>
        <w:t>Forward P/E of 5.89x with 16.4% yield and the stock trading at a 9.2% discount to book value offers attractive entry for income investors if spread environment remains favorable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737.5% and $125B+ in repo-funded mortgage assets create extreme sensitivity to funding market disruptions — any tightening in repo markets or widening of agency MBS spreads could compress book value and force deleveraging at distressed prices [4]</w:t>
      </w:r>
    </w:p>
    <w:p>
      <w:pPr>
        <w:spacing w:before="40" w:after="40"/>
        <w:ind w:left="283"/>
      </w:pPr>
      <w:r>
        <w:rPr>
          <w:rFonts w:ascii="Calibri" w:hAnsi="Calibri"/>
          <w:b/>
          <w:color w:val="4A6B25"/>
          <w:sz w:val="20"/>
        </w:rPr>
        <w:t xml:space="preserve">2. </w:t>
      </w:r>
      <w:r>
        <w:rPr>
          <w:rFonts w:ascii="Calibri" w:hAnsi="Calibri"/>
          <w:b w:val="0"/>
          <w:color w:val="3A4A28"/>
          <w:sz w:val="20"/>
        </w:rPr>
        <w:t>Stock declined 25% from 52-week high of $24.52 to $18.30 despite improving fundamentals, and historical pattern of multiple dividend cuts undermines confidence that current $0.75/quarter payment is sustainable through a full rate cycle [1][4]</w:t>
      </w:r>
    </w:p>
    <w:p>
      <w:pPr>
        <w:spacing w:before="40" w:after="40"/>
        <w:ind w:left="283"/>
      </w:pPr>
      <w:r>
        <w:rPr>
          <w:rFonts w:ascii="Calibri" w:hAnsi="Calibri"/>
          <w:b/>
          <w:color w:val="4A6B25"/>
          <w:sz w:val="20"/>
        </w:rPr>
        <w:t xml:space="preserve">3. </w:t>
      </w:r>
      <w:r>
        <w:rPr>
          <w:rFonts w:ascii="Calibri" w:hAnsi="Calibri"/>
          <w:b w:val="0"/>
          <w:color w:val="3A4A28"/>
          <w:sz w:val="20"/>
        </w:rPr>
        <w:t>Interest rate sensitivity is binary — NLY's business model depends entirely on the spread between short-term funding costs and long-term mortgage yields, and revenue growth of 479% reflects mark-to-market swings, not controllable operational performance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Annaly's core business — managing a $135B+ leveraged portfolio of agency MBS, non-agency whole loans, and mortgage servicing rights — involves complex financial structuring, regulatory compliance, and interest rate risk management that AI enhances but does not replace [1][2]. The spread-based model requires human judgment on prepayment risk, duration management, hedging strategy, and macroeconomic positioning that reflects institutional knowledge built over three decades. REIT tax compliance, GSE relationships, and repo counterparty management add human-judgment layers. However, analytical functions including prepayment modeling, portfolio optimization, and risk monitoring could become increasingly automated, and a 212-person firm could face efficiency pressure from AI-enhanced competitors [1]. The record $7.1B residential credit purchase in Q2 2026 required deal-level due diligence and relationship-based origination that AI cannot fully automate. AI Opportunity (0/1): Annaly does not generate any AI product revenue. The company uses quantitative models internally for portfolio management and risk assessment, but these are not externally sold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Annaly Capital Management Q2 2026 Earnings — EAD $0.79/share, Book Value $20.15, Dividend raised to $0.75/quarter, Record $7.1B credit purchases, 9th consecutive quarter EAD exceeding dividend, July 2026</w:t>
      </w:r>
    </w:p>
    <w:p>
      <w:pPr>
        <w:spacing w:before="20" w:after="20"/>
        <w:ind w:left="170"/>
      </w:pPr>
      <w:r>
        <w:rPr>
          <w:rFonts w:ascii="Calibri" w:hAnsi="Calibri"/>
          <w:b/>
          <w:color w:val="4A6B25"/>
          <w:sz w:val="15"/>
        </w:rPr>
        <w:t xml:space="preserve">2. </w:t>
      </w:r>
      <w:r>
        <w:rPr>
          <w:rFonts w:ascii="Calibri" w:hAnsi="Calibri"/>
          <w:b w:val="0"/>
          <w:color w:val="3A4A28"/>
          <w:sz w:val="17"/>
        </w:rPr>
        <w:t>Annaly Capital Management Leadership — CEO David Finkelstein (CIO), President Steven Campbell (COO), CTO Don Choe, 212 employees, Comparably 96% engagement score, 2026</w:t>
      </w:r>
    </w:p>
    <w:p>
      <w:pPr>
        <w:spacing w:before="20" w:after="20"/>
        <w:ind w:left="170"/>
      </w:pPr>
      <w:r>
        <w:rPr>
          <w:rFonts w:ascii="Calibri" w:hAnsi="Calibri"/>
          <w:b/>
          <w:color w:val="4A6B25"/>
          <w:sz w:val="15"/>
        </w:rPr>
        <w:t xml:space="preserve">3. </w:t>
      </w:r>
      <w:r>
        <w:rPr>
          <w:rFonts w:ascii="Calibri" w:hAnsi="Calibri"/>
          <w:b w:val="0"/>
          <w:color w:val="3A4A28"/>
          <w:sz w:val="17"/>
        </w:rPr>
        <w:t>Annaly Capital Management ESG — SASB/GRI/TCFD disclosures, 100% Scope 1+2 emissions offset, Sustainalytics ESG Risk 8.3 (Negligible), Inspire Impact Score 54,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NLY Key Statistics: Price $18.30, Market Cap $13.8B, PE 4.47, Forward PE 5.89, D/E 737.5%, ROE 19.6%, Dividend $3.00/yr (16.4% yield), Avg Volume 9.31M, 52-week $17.76-$24.52,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