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NMFC</w:t>
      </w:r>
      <w:r>
        <w:rPr>
          <w:rFonts w:ascii="Calibri" w:hAnsi="Calibri"/>
          <w:b/>
          <w:color w:val="1A2010"/>
          <w:sz w:val="40"/>
        </w:rPr>
        <w:t xml:space="preserve">  New Mountain Finance Corporation</w:t>
      </w:r>
    </w:p>
    <w:p>
      <w:pPr>
        <w:spacing w:after="120"/>
      </w:pPr>
      <w:r>
        <w:rPr>
          <w:rFonts w:ascii="Calibri" w:hAnsi="Calibri"/>
          <w:b/>
          <w:color w:val="6E8450"/>
          <w:sz w:val="18"/>
        </w:rPr>
        <w:t>DIVIDEND SLEEVE · 2026-09-26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NASDAQ · United States</w:t>
      </w:r>
    </w:p>
    <w:p>
      <w:pPr>
        <w:spacing w:after="80"/>
      </w:pPr>
      <w:r>
        <w:rPr>
          <w:rFonts w:ascii="Calibri" w:hAnsi="Calibri"/>
          <w:b w:val="0"/>
          <w:color w:val="3A4A28"/>
          <w:sz w:val="20"/>
        </w:rPr>
        <w:t>New Mountain Finance Corporation is an externally managed business development company (BDC), led by CEO John Kline, providing direct lending solutions — primarily senior secured loans — to U.S. upper middle market companies backed by private equity sponsors in 'defensive growth' industries. NAV per share was $10.89 as of Q2 2026, down slightly from $10.92 in Q1, following an approximately $477M portfolio asset sale executed at 94% of fair value to reduce PIK income and increase diversification. Non-accruals improved to 1.5% of fair value in Q2 (from 2.6% in Q1) with ~88% of the portfolio rated green on the internal credit heatmap, and the company declared a Q3 2026 distribution of $0.25 per share, payable September 30, 2026.</w:t>
      </w:r>
    </w:p>
    <w:p>
      <w:r>
        <w:rPr>
          <w:rFonts w:ascii="Calibri" w:hAnsi="Calibri"/>
          <w:b/>
          <w:color w:val="6E8450"/>
          <w:sz w:val="18"/>
        </w:rPr>
        <w:t>https://www.newmountainfinance.com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NMFC is a BDC — a financial vehicle that originates and holds loans. The ~$477M portfolio sale and prior share repurchases are defensive balance-sheet maneuvers, not innovation [1]. AI Deployment (0/2): Parent New Mountain Capital operates AI-enabled healthcare platforms (Smarter Technologies) and publishes commentary on 'the enduring principles of software investing in the age of AI,' but NMFC itself does not deploy AI in its lending operations or report AI-driven efficiency gains [2]. Market Share (0/2): NMFC is a mid-tier BDC, smaller than Ares Capital, Blue Owl Capital, and FS KKR Capital, and has been shrinking its portfolio through asset sales rather than gaining share [1]. Product Pipeline (0/2): Not applicable for a BDC. R&amp;D Intensity (0/1): Not applicable for a financial services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NMFC's stated focus on 'providing direct lending solutions to U.S. upper middle market companies backed by top private equity sponsors' in 'defensive growth' industries describes what the company does but articulates no purpose beyond financial returns, interchangeable with dozens of BDC competitors [3]. Community Impact (0/2): No evidence of charitable giving or community investment programs; as an externally managed vehicle with no direct employees, community engagement is minimal. Employee Retention (0/2): NMFC is externally managed by New Mountain Capital with no direct employees; not applicable. Insider Buying (0/2): No evidence of meaningful personal insider buying by management was identified this cycle; capital actions (asset sales, prior buybacks) are corporate rather than personal conviction signals.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 of 6.65 scores well against the deep discount for a BDC with fundamental challenges, and 14 consecutive years of dividend payments contributes solidly at 2x weight. However, most other metrics score poorly or at zero: D/E of 130.4% is well above the 70% target; ROE of -4.06% and profit margin of -16.78% both hit their zero floors as the company posts GAAP losses from unrealized portfolio depreciation even as non-GAAP net investment income covers the dividend; and trailing revenue (investment income) fell an estimated -26.4% YoY as the ~$477M portfolio sale permanently shrank the earning-asset base, also hitting its floor [1][4]. The dividend was held flat at $0.25/quarter with zero consecutive years of growth, and the 5yr dividend growth CAGR remains negative (-3.8%) following the 2025 cut. The payout ratio has risen to an estimated 96% of adjusted NII ($0.26/share in Q2 against the $0.25 dividend), leaving minimal coverage cushion.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NMFC remains a fundamentally finite game player — an externally managed financial vehicle designed to generate quarterly income for shareholders through direct lending, with no Just Cause, no organizational culture (no direct employees), and no evidence of building to endure beyond the current credit cycle. Improving non-accrual trends (1.5% vs. 2.6% prior quarter) suggest the aggressive Q1 portfolio sale is stabilizing credit quality, but this is risk management, not infinite-game strategy.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NMFC exists to 'generate current income and capital appreciation' through direct lending — a purely financial objective with no articulated vision of a future state worth advancing beyond shareholder returns [3]. The company is a financial vehicle, not a mission-driven organization.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NMFC is externally managed by New Mountain Capital with no direct employees, no internal organizational culture, and no Circle of Safety to evaluate [3]. The externally managed structure inherently creates a principal-agent problem between the manager's fee incentives and shareholder interests.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mindset; BDCs compete on cost of capital, origination relationships, and credit selection, and NMFC's shrinking portfolio suggests it is losing ground to larger, better-capitalized peers rather than learning from them [3].</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NMFC has operated the same BDC business model since its 2011 IPO. The ~$477M portfolio sale is defensive asset disposition under credit stress, not strategic reinvention, and the company has not adapted its model despite the rise of AI-driven disruption risk now facing its software-heavy loan book [1][5].</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~$477M portfolio sale at 94% of fair value and the maintained (if unchanged) $0.25/quarter distribution represent decisive, if reactive, action to stabilize the vehicle and improve diversification amid mounting AI-driven private credit concerns [1][5]. Non-accruals improving from 2.6% to 1.5% this quarter suggests the actions are working, though this remains defensive risk management rather than proactive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NMFC trades at a steep discount to NAV ($6.98 vs. $10.89 NAV per share) and offers a 14.33% dividend yield on the $0.25 quarterly distribution, which remains narrowly covered by Q2 2026 adjusted net investment income of $0.26/share [1]. Non-accruals improved from 2.6% to 1.5% of fair value quarter-over-quarter with 88% of the portfolio rated green, suggesting the aggressive ~$477M portfolio sale is successfully de-risking the balance sheet and stabilizing credit quality [1].</w:t>
      </w:r>
    </w:p>
    <w:p>
      <w:pPr>
        <w:spacing w:after="120"/>
      </w:pPr>
      <w:r>
        <w:rPr>
          <w:rFonts w:ascii="Calibri" w:hAnsi="Calibri"/>
          <w:b w:val="0"/>
          <w:color w:val="3A4A28"/>
          <w:sz w:val="20"/>
        </w:rPr>
        <w:t>The bear case has deepened. GAAP profit margin (-16.78%) and ROE (-4.06%) are both negative, D/E of 130.4% is elevated, and trailing revenue fell an estimated 26.4% YoY as the earning-asset base permanently shrank from the portfolio sale [4]. The payout ratio has risen to an estimated 96% of adjusted NII, leaving almost no cushion if net investment income softens further, and the 5-year dividend growth CAGR remains negative following the 2025 cut with zero consecutive years of subsequent growth. Most critically, new analyst research (S&amp;P Global, UBS) shows AI-driven disruption risk is now spilling directly into the private credit sector NMFC operates in, with software-sector borrowers — a segment central to New Mountain's lending strategy — facing potential collateral impairment as AI compresses the economics of the businesses backing these loans [5]. The combination of negative profitability metrics, thin dividend coverage, and a newly-identified sector-specific AI disruption channel materially worsens the risk profile versus prior periods.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improvement in non-accrual rates (down to 1.5% from 2.6%) and the 88% green-rated portfolio could support NAV stabilization and narrow the deep discount to book value [1]</w:t>
      </w:r>
    </w:p>
    <w:p>
      <w:pPr>
        <w:spacing w:before="40" w:after="40"/>
        <w:ind w:left="283"/>
      </w:pPr>
      <w:r>
        <w:rPr>
          <w:rFonts w:ascii="Calibri" w:hAnsi="Calibri"/>
          <w:b/>
          <w:color w:val="4A6B25"/>
          <w:sz w:val="20"/>
        </w:rPr>
        <w:t xml:space="preserve">2. </w:t>
      </w:r>
      <w:r>
        <w:rPr>
          <w:rFonts w:ascii="Calibri" w:hAnsi="Calibri"/>
          <w:b w:val="0"/>
          <w:color w:val="3A4A28"/>
          <w:sz w:val="20"/>
        </w:rPr>
        <w:t>Successful redeployment of ~$477M portfolio sale proceeds into higher-quality, less AI-exposed credits at wider spreads would improve both income coverage and credit risk profile</w:t>
      </w:r>
    </w:p>
    <w:p>
      <w:pPr>
        <w:spacing w:before="40" w:after="40"/>
        <w:ind w:left="283"/>
      </w:pPr>
      <w:r>
        <w:rPr>
          <w:rFonts w:ascii="Calibri" w:hAnsi="Calibri"/>
          <w:b/>
          <w:color w:val="4A6B25"/>
          <w:sz w:val="20"/>
        </w:rPr>
        <w:t xml:space="preserve">3. </w:t>
      </w:r>
      <w:r>
        <w:rPr>
          <w:rFonts w:ascii="Calibri" w:hAnsi="Calibri"/>
          <w:b w:val="0"/>
          <w:color w:val="3A4A28"/>
          <w:sz w:val="20"/>
        </w:rPr>
        <w:t>A moderation in AI-driven private credit disruption concerns (per S&amp;P/UBS commentary) would ease pressure on NMFC's software-sector loan book and support the current dividend rate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disruption is now an analyst-flagged risk to the private credit sector's software-sector borrowers specifically, with UBS projecting default rates could reach 13% in an aggressive scenario — a direct threat to NMFC's collateral values [5]</w:t>
      </w:r>
    </w:p>
    <w:p>
      <w:pPr>
        <w:spacing w:before="40" w:after="40"/>
        <w:ind w:left="283"/>
      </w:pPr>
      <w:r>
        <w:rPr>
          <w:rFonts w:ascii="Calibri" w:hAnsi="Calibri"/>
          <w:b/>
          <w:color w:val="4A6B25"/>
          <w:sz w:val="20"/>
        </w:rPr>
        <w:t xml:space="preserve">2. </w:t>
      </w:r>
      <w:r>
        <w:rPr>
          <w:rFonts w:ascii="Calibri" w:hAnsi="Calibri"/>
          <w:b w:val="0"/>
          <w:color w:val="3A4A28"/>
          <w:sz w:val="20"/>
        </w:rPr>
        <w:t>Negative GAAP ROE (-4.06%) and profit margin (-16.78%), combined with a ~96% payout ratio on adjusted NII, leave minimal room for further credit deterioration before the dividend becomes unsustainable [1][4]</w:t>
      </w:r>
    </w:p>
    <w:p>
      <w:pPr>
        <w:spacing w:before="40" w:after="40"/>
        <w:ind w:left="283"/>
      </w:pPr>
      <w:r>
        <w:rPr>
          <w:rFonts w:ascii="Calibri" w:hAnsi="Calibri"/>
          <w:b/>
          <w:color w:val="4A6B25"/>
          <w:sz w:val="20"/>
        </w:rPr>
        <w:t xml:space="preserve">3. </w:t>
      </w:r>
      <w:r>
        <w:rPr>
          <w:rFonts w:ascii="Calibri" w:hAnsi="Calibri"/>
          <w:b w:val="0"/>
          <w:color w:val="3A4A28"/>
          <w:sz w:val="20"/>
        </w:rPr>
        <w:t>The ~26.4% YoY decline in investment income following the portfolio sale creates a structural income gap that cannot be filled without re-leveraging (already elevated at 130.4% D/E) or accepting lower-quality credits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NMFC's core business of originating and holding senior secured loans to PE-backed middle market companies involves relationship-driven deal sourcing and credit judgment that AI cannot fully replicate [3], but new evidence this cycle shows AI-driven disruption risk actively spilling into the private credit sector NMFC operates in: S&amp;P Global now publishes on 'AI disruption worries spilling over to private credit markets,' and UBS projects private credit default rates could climb toward 13% in an aggressive AI-disruption scenario, concentrated in AI-vulnerable software borrowers [5]. New Mountain's own commentary acknowledges the risk directly, noting its software loans are structured senior in the capital stack at conservative leverage (~6x EBITDA on businesses once valued at 20x, now worth 10x) as a defensive response — an implicit admission that the underlying collateral value of software-sector borrowers is under genuine AI-driven pressure [5]. Given NMFC's software-sector concentration, this now constitutes real, analyst-flagged substitution/impairment risk rather than a purely theoretical concern. AI Opportunity (0/1): No AI-related revenue; NMFC itself does not generate revenue from AI products or services, though parent New Mountain Capital is active in AI investments separately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 Mountain Finance Corporation Q1/Q2 2026 Earnings Releases — NAV, Non-Accruals, Adjusted NII, and Dividend Coverage,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New Mountain Capital — Smarter Technologies AI Platform and 'The Credit View: Enduring Principles of Software Investing in the Age of AI', 2025-2026</w:t>
      </w:r>
    </w:p>
    <w:p>
      <w:pPr>
        <w:spacing w:before="20" w:after="20"/>
        <w:ind w:left="170"/>
      </w:pPr>
      <w:r>
        <w:rPr>
          <w:rFonts w:ascii="Calibri" w:hAnsi="Calibri"/>
          <w:b/>
          <w:color w:val="4A6B25"/>
          <w:sz w:val="15"/>
        </w:rPr>
        <w:t xml:space="preserve">3. </w:t>
      </w:r>
      <w:r>
        <w:rPr>
          <w:rFonts w:ascii="Calibri" w:hAnsi="Calibri"/>
          <w:b w:val="0"/>
          <w:color w:val="3A4A28"/>
          <w:sz w:val="17"/>
        </w:rPr>
        <w:t>New Mountain Finance Corporation Corporate Website — Strategy, Leadership, and Team,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Bloomberg / Seeking Alpha — New Mountain $477M Portfolio Sale at 94% Value Amid Private Credit Concerns, February 2026</w:t>
      </w:r>
    </w:p>
    <w:p>
      <w:pPr>
        <w:spacing w:before="20" w:after="20"/>
        <w:ind w:left="170"/>
      </w:pPr>
      <w:r>
        <w:rPr>
          <w:rFonts w:ascii="Calibri" w:hAnsi="Calibri"/>
          <w:b/>
          <w:color w:val="4A6B25"/>
          <w:sz w:val="15"/>
        </w:rPr>
        <w:t xml:space="preserve">5. </w:t>
      </w:r>
      <w:r>
        <w:rPr>
          <w:rFonts w:ascii="Calibri" w:hAnsi="Calibri"/>
          <w:b w:val="0"/>
          <w:color w:val="3A4A28"/>
          <w:sz w:val="17"/>
        </w:rPr>
        <w:t>S&amp;P Global Ratings / UBS — 'AI Disruption Worries Spill Over to Private Credit Markets',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StockAnalysis — NMFC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