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NMRK</w:t>
      </w:r>
      <w:r>
        <w:rPr>
          <w:rFonts w:ascii="Calibri" w:hAnsi="Calibri"/>
          <w:b/>
          <w:color w:val="1A2010"/>
          <w:sz w:val="40"/>
        </w:rPr>
        <w:t xml:space="preserve">  Newmark Group, Inc.</w:t>
      </w:r>
    </w:p>
    <w:p>
      <w:pPr>
        <w:spacing w:after="120"/>
      </w:pPr>
      <w:r>
        <w:rPr>
          <w:rFonts w:ascii="Calibri" w:hAnsi="Calibri"/>
          <w:b/>
          <w:color w:val="6E8450"/>
          <w:sz w:val="18"/>
        </w:rPr>
        <w:t>GROWTH SLEEVE · 2026-09-20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NASDAQ · United States</w:t>
      </w:r>
    </w:p>
    <w:p>
      <w:pPr>
        <w:spacing w:after="80"/>
      </w:pPr>
      <w:r>
        <w:rPr>
          <w:rFonts w:ascii="Calibri" w:hAnsi="Calibri"/>
          <w:b w:val="0"/>
          <w:color w:val="3A4A28"/>
          <w:sz w:val="20"/>
        </w:rPr>
        <w:t>Newmark Group is a commercial real estate advisory and services firm offering capital markets, leasing, property management, valuation, and consulting services globally. Operates from more than 185 offices with over 9,600 professionals across four continents. H1 2026 revenue reached $1.73B (+21.8% YoY) marking eight consecutive quarters of double-digit growth. FY2026 guidance raised to $3.775B-$3.875B (15-18% growth). CEO Barry Gosin, who has led the company for 47 years, is stepping down December 31, 2026. Acquired Altus Group's Development Advisory business to expand capabilities.</w:t>
      </w:r>
    </w:p>
    <w:p>
      <w:r>
        <w:rPr>
          <w:rFonts w:ascii="Calibri" w:hAnsi="Calibri"/>
          <w:b/>
          <w:color w:val="6E8450"/>
          <w:sz w:val="18"/>
        </w:rPr>
        <w:t>9,600 Employees · https://www.nmrk.com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Newmark delivered eight consecutive quarters of double-digit revenue growth through H1 2026, with Q1 revenue of $846.5M (+27.2% YoY) and Q2 revenue of $888.4M (+17% YoY) [1][2]. The acquisition of Altus Group's Development Advisory platform added a new revenue stream alongside capital markets (up 16% in Q2) and management services growth [2]. Revenue has scaled from ~$2.5B (2023) to a guided $3.8B+ (2026), driven by aggressive talent recruitment and CRE market recovery. AI Deployment (1/2): Newmark appointed Kyle Lutnick as Chief Strategy Officer in May 2026 to lead firmwide initiatives across data, AI, technology, and strategic account growth [3]. CEO Gosin referenced technology investments for broker productivity. Glassdoor reviews mention 'utilizing technology, AI, and the best people to create a competitive advantage.' However, no AI products are shipping and no quantified AI savings have been reported. Market Share (1/2): Newmark is a meaningful and growing player in U.S. commercial real estate services, consistently gaining share through aggressive broker recruitment from CBRE, JLL, and Cushman &amp; Wakefield, though it trails these larger competitors in total scale [1]. Product Pipeline (0/2): No next-generation products or service offerings with specific launch timelines have been announced; CRE services growth is driven by market recovery and talent rather than product innovation. R&amp;D Intensity (0/1): As a services firm, technology spending is below tech-focused peers; innovation is primarily through talent acquisition.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Newmark positions itself as a trusted advisor delivering innovative solutions for commercial real estate clients — a clear but not distinctive purpose that could describe any CRE services firm [4]. The mission lacks depth or transformative ambition to differentiate from CBRE, JLL, or Cushman &amp; Wakefield. Community Impact (1/2): Newmark achieved carbon neutrality in business operations in 2023 and committed to becoming carbon negative by 2030, with ESG Committee established at board level and Corporate Responsibility reports published [4]. Employee Retention (0/2): Glassdoor rating has declined to 3.1/5 (12% below typical Real Estate companies of similar size), with only 52% recommending to a friend [3]. Reviews cite 'workplace culture heavily influenced by internal politics, with unprofessional behavior often tolerated or quietly ignored.' The brokerage eat-what-you-kill culture creates high turnover among non-top-producing employees. Insider Buying (0/2): Howard Lutnick divested all Newmark holdings in October 2025 (mandated by Commerce Secretary ethics rules), and no meaningful net insider buying by other executives has been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Forward P/E of 6.32x is exceptionally attractive, well below the 20x target (scoring 1.0), reflecting the market's undervaluation of Newmark's earnings trajectory [5]. Revenue growth YoY of 17% exceeds the 10% target (scoring 1.0), with H1 2026 revenue up 21.8% and adjusted EPS up 36.5% [1][2]. D/E of 129.85% is moderately above the 70% target but manageable for a capital-light services firm (scoring 0.74). ROE of 11.11% is below the 15% target but improving as profitability scales (scoring 0.74 at 2x weight). Revenue growth 5yr CAGR of approximately 6.8% scores 0.79 at 2x weight. Profit margin of 4.11% is structurally thin for a brokerage model (scoring 0.21). PEG ratio unavailable from yfinance, excluded from calculation. Weighted sum 6.00 / max 8.0 = infrastructure 8. Liquidity comfortably cleared at ~$21.2M daily turnover (1.52M avg volume x $13.94)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Newmark operates primarily as a financially-driven brokerage competing on talent acquisition and market share rather than advancing a deeper purpose. CEO Barry Gosin's extraordinary 47-year tenure provided rare leadership stability, but his announced departure on December 31, 2026 creates significant succession uncertainty with no named successor [3]. The company's growth strategy of recruiting top brokers from competitors and leveraging the CRE cycle is effective but fundamentally finite in orientation. Declining Glassdoor ratings (3.1/5, 12% below peers) and the Kyle Lutnick CSO appointment raise culture and governance concerns.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Newmark articulates a general purpose around delivering trusted advisory services for commercial real estate, but this is interchangeable with any CRE peer [4]. The company's competitive language focuses on market share gains, hiring top producers from rivals, and transaction volume records — hallmarks of a finite competitive mindset. No evidence of a deeper purpose that transcends industry competition or inspires sacrifice. The impending CEO transition with no named successor raises questions about organizational identity beyond Gosin's 47-year vision.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has declined to 3.1/5 (12% below industry peers), with employees describing a workplace culture 'heavily influenced by internal politics, with unprofessional behavior often tolerated or quietly ignored rather than addressed' [3]. Only 52% would recommend working at Newmark to a friend. CEO Gosin's departure on December 31, 2026 creates leadership uncertainty. The brokerage eat-what-you-kill compensation model creates internal competition that undermines team cohesion —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Newmark's competitive strategy is explicitly focused on recruiting top producers away from CBRE, JLL, and Cushman &amp; Wakefield — a talent-poaching approach that frames competition as a war for market share rather than motivation for self-improvement [1]. Management commentary emphasizes record revenue, market share gains, and beating analyst estimates rather than learning from competitors' strengths. This is quintessentially finite competitive language.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Newmark has expanded from a traditional brokerage into capital markets (up 16% in Q2 2026), management/servicing, development advisory (Altus acquisition), and multifamily lending, diversifying revenue streams beyond pure leasing [1][2]. The company's separation from BGC Group in 2018 and subsequent platform build-out demonstrate meaningful business model evolution. However, these are incremental extensions within CRE services, not transformative reinventions of the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Newmark's aggressive hiring of top producers during the CRE downturn of 2022-2023, investing in talent when competitors were cutting costs, demonstrates willingness to sacrifice short-term margins for long-term market positioning [1]. The FY2026 raised guidance ($3.775B-$3.875B revenue) validates this countercyclical investment. The Altus Group acquisition expands capabilities into development advisory. However, the CRE market recovery provides favorable tailwinds that reduce the perceived risk of these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Newmark Group is delivering accelerating growth in a recovering CRE market, with H1 2026 revenue of $1.73B (+21.8% YoY) and adjusted EPS of $0.71 (+36.5%), marking eight consecutive quarters of double-digit growth [1][2]. The raised 2026 guidance of $3.775B-$3.875B revenue (15-18% growth) with adjusted EBITDA growth of 17-23% demonstrates strong operational leverage as CRE transaction volumes normalize. At a forward P/E of 6.32x — a steep discount to CBRE (~22x) and JLL (~18x) — NMRK offers significant re-rating potential if growth and margin expansion prove durable [5]. The Altus Group Development Advisory acquisition adds a new revenue vertical, and the appointment of Kyle Lutnick as CSO for AI and technology positions the firm for platform modernization.</w:t>
      </w:r>
    </w:p>
    <w:p>
      <w:pPr>
        <w:spacing w:after="120"/>
      </w:pPr>
      <w:r>
        <w:rPr>
          <w:rFonts w:ascii="Calibri" w:hAnsi="Calibri"/>
          <w:b w:val="0"/>
          <w:color w:val="3A4A28"/>
          <w:sz w:val="20"/>
        </w:rPr>
        <w:t>The bear case centers on CEO succession risk, cyclical sensitivity, governance concerns, and structural margin constraints. CEO Barry Gosin's departure on December 31, 2026 after 47 years creates the most significant leadership uncertainty in the company's history, with no named successor announced [3]. Profit margins of 4.11% are razor-thin, and the brokerage model's heavy reliance on top-producer compensation creates structural margin compression — revenue can grow 17% while net income remains modest [5]. Glassdoor has declined to 3.1/5 (12% below CRE peers) with employees citing internal politics and unprofessional behavior, suggesting culture issues that a new CEO must address [3]. The Kyle Lutnick CSO appointment raises nepotism concerns. D/E of 129.85% limits flexibility in a potential CRE downturn, and Newmark's own research projects AI will constrain office-using employment growth to +0.3% through 2030, creating secular headwinds for office leasing advisory revenue. The stock's 12.7% decline from $16 to $13.94 reflects the market pricing in succession risk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CRE market recovery acceleration — raised 2026 guidance to $3.775B-$3.875B revenue with eight consecutive quarters of double-digit growth, as transaction volumes normalize post-rate-cut cycle [1][2]</w:t>
      </w:r>
    </w:p>
    <w:p>
      <w:pPr>
        <w:spacing w:before="40" w:after="40"/>
        <w:ind w:left="283"/>
      </w:pPr>
      <w:r>
        <w:rPr>
          <w:rFonts w:ascii="Calibri" w:hAnsi="Calibri"/>
          <w:b/>
          <w:color w:val="4A6B25"/>
          <w:sz w:val="20"/>
        </w:rPr>
        <w:t xml:space="preserve">2. </w:t>
      </w:r>
      <w:r>
        <w:rPr>
          <w:rFonts w:ascii="Calibri" w:hAnsi="Calibri"/>
          <w:b w:val="0"/>
          <w:color w:val="3A4A28"/>
          <w:sz w:val="20"/>
        </w:rPr>
        <w:t>Extreme valuation discount — forward P/E of 6.32x vs CBRE at ~22x and JLL at ~18x implies substantial multiple expansion opportunity if growth durability is demonstrated through the CEO transition [5]</w:t>
      </w:r>
    </w:p>
    <w:p>
      <w:pPr>
        <w:spacing w:before="40" w:after="40"/>
        <w:ind w:left="283"/>
      </w:pPr>
      <w:r>
        <w:rPr>
          <w:rFonts w:ascii="Calibri" w:hAnsi="Calibri"/>
          <w:b/>
          <w:color w:val="4A6B25"/>
          <w:sz w:val="20"/>
        </w:rPr>
        <w:t xml:space="preserve">3. </w:t>
      </w:r>
      <w:r>
        <w:rPr>
          <w:rFonts w:ascii="Calibri" w:hAnsi="Calibri"/>
          <w:b w:val="0"/>
          <w:color w:val="3A4A28"/>
          <w:sz w:val="20"/>
        </w:rPr>
        <w:t>Altus Group Development Advisory acquisition adds a new revenue vertical and capability platform, diversifying beyond traditional brokerage and capital markets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succession risk — Barry Gosin departing December 31, 2026 after 47 years with no named successor creates leadership vacuum during a critical CRE recovery period; new CEO must navigate culture issues, technology transformation, and governance concerns simultaneously [3]</w:t>
      </w:r>
    </w:p>
    <w:p>
      <w:pPr>
        <w:spacing w:before="40" w:after="40"/>
        <w:ind w:left="283"/>
      </w:pPr>
      <w:r>
        <w:rPr>
          <w:rFonts w:ascii="Calibri" w:hAnsi="Calibri"/>
          <w:b/>
          <w:color w:val="4A6B25"/>
          <w:sz w:val="20"/>
        </w:rPr>
        <w:t xml:space="preserve">2. </w:t>
      </w:r>
      <w:r>
        <w:rPr>
          <w:rFonts w:ascii="Calibri" w:hAnsi="Calibri"/>
          <w:b w:val="0"/>
          <w:color w:val="3A4A28"/>
          <w:sz w:val="20"/>
        </w:rPr>
        <w:t>Cyclical sensitivity — CRE services revenue is correlated with transaction volumes and interest rates, and 4.11% profit margins amplify downside; a recession would compress revenues and eliminate profits simultaneously [5]</w:t>
      </w:r>
    </w:p>
    <w:p>
      <w:pPr>
        <w:spacing w:before="40" w:after="40"/>
        <w:ind w:left="283"/>
      </w:pPr>
      <w:r>
        <w:rPr>
          <w:rFonts w:ascii="Calibri" w:hAnsi="Calibri"/>
          <w:b/>
          <w:color w:val="4A6B25"/>
          <w:sz w:val="20"/>
        </w:rPr>
        <w:t xml:space="preserve">3. </w:t>
      </w:r>
      <w:r>
        <w:rPr>
          <w:rFonts w:ascii="Calibri" w:hAnsi="Calibri"/>
          <w:b w:val="0"/>
          <w:color w:val="3A4A28"/>
          <w:sz w:val="20"/>
        </w:rPr>
        <w:t>Culture deterioration — Glassdoor declined to 3.1/5 (12% below peers) with political culture and unprofessional behavior cited by employees, creating retention risk among non-top-producing staff and undermining the talent-driven growth strategy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Commercial real estate brokerage relies heavily on relationship-driven deal origination, market knowledge, negotiation skills, and client trust that AI cannot replicate [3]. Investment sales, capital markets advisory, and property management involve physical-world operations with regulatory complexity and human judgment requirements. However, AI tools are increasingly capable of automating valuation analysis, market research, lease abstracting, financial modeling, and property matching — meaningful support functions within the CRE services value chain. Newmark's own research projects AI will act as a headwind to office-using employment growth through 2030, creating secular headwinds for the office leasing advisory revenue that partially funds the firm [3]. AI Opportunity (0/1): While Newmark appointed Kyle Lutnick as CSO for AI and technology transformation and CEO Gosin references technology investment, no quantifiable AI revenue has been disclosed. The initiatives are strategic and internal rather than revenue-generating.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Newmark Group Q1 2026 Earnings Release — Record revenue $846.5M (+27.2% YoY), adjusted EPS $0.33 (+57.1%), seventh consecutive quarter of double-digit growth, April 2026</w:t>
      </w:r>
    </w:p>
    <w:p>
      <w:pPr>
        <w:spacing w:before="20" w:after="20"/>
        <w:ind w:left="170"/>
      </w:pPr>
      <w:r>
        <w:rPr>
          <w:rFonts w:ascii="Calibri" w:hAnsi="Calibri"/>
          <w:b/>
          <w:color w:val="4A6B25"/>
          <w:sz w:val="15"/>
        </w:rPr>
        <w:t xml:space="preserve">2. </w:t>
      </w:r>
      <w:r>
        <w:rPr>
          <w:rFonts w:ascii="Calibri" w:hAnsi="Calibri"/>
          <w:b w:val="0"/>
          <w:color w:val="3A4A28"/>
          <w:sz w:val="17"/>
        </w:rPr>
        <w:t>Newmark Group Q2 2026 Earnings Release — Revenue $888.4M (+17% YoY), adjusted EPS $0.39 (+25.8%), raised FY2026 guidance to $3.775B-$3.875B, capital markets +16%, July 2026</w:t>
      </w:r>
    </w:p>
    <w:p>
      <w:pPr>
        <w:spacing w:before="20" w:after="20"/>
        <w:ind w:left="170"/>
      </w:pPr>
      <w:r>
        <w:rPr>
          <w:rFonts w:ascii="Calibri" w:hAnsi="Calibri"/>
          <w:b/>
          <w:color w:val="4A6B25"/>
          <w:sz w:val="15"/>
        </w:rPr>
        <w:t xml:space="preserve">3. </w:t>
      </w:r>
      <w:r>
        <w:rPr>
          <w:rFonts w:ascii="Calibri" w:hAnsi="Calibri"/>
          <w:b w:val="0"/>
          <w:color w:val="3A4A28"/>
          <w:sz w:val="17"/>
        </w:rPr>
        <w:t>Newmark Group Leadership and Culture — CEO Gosin stepping down Dec 31 2026, Kyle Lutnick CSO appointment, Glassdoor 3.1/5 (52% recommend), Simply Wall St/Glassdoor,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Newmark Group ESG — Carbon neutrality achieved 2023, ESG Committee, Corporate Responsibility Report, nmrk.com,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NMRK Key Statistics: Price $13.94, Forward P/E 6.32, D/E 129.85%, ROE 11.11%, Margin 4.11%, Avg Volume 1.52M,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