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NMR</w:t>
      </w:r>
      <w:r>
        <w:rPr>
          <w:rFonts w:ascii="Calibri" w:hAnsi="Calibri"/>
          <w:b/>
          <w:color w:val="1A2010"/>
          <w:sz w:val="40"/>
        </w:rPr>
        <w:t xml:space="preserve">  Nomura Holdings, Inc.</w:t>
      </w:r>
    </w:p>
    <w:p>
      <w:pPr>
        <w:spacing w:after="120"/>
      </w:pPr>
      <w:r>
        <w:rPr>
          <w:rFonts w:ascii="Calibri" w:hAnsi="Calibri"/>
          <w:b/>
          <w:color w:val="6E8450"/>
          <w:sz w:val="18"/>
        </w:rPr>
        <w:t>DIVIDEND SLEEVE · 2026-09-17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Capital Markets · NYSE · Japan</w:t>
      </w:r>
    </w:p>
    <w:p>
      <w:pPr>
        <w:spacing w:after="80"/>
      </w:pPr>
      <w:r>
        <w:rPr>
          <w:rFonts w:ascii="Calibri" w:hAnsi="Calibri"/>
          <w:b w:val="0"/>
          <w:color w:val="3A4A28"/>
          <w:sz w:val="20"/>
        </w:rPr>
        <w:t>Nomura Holdings, led by President and Group CEO Kentaro Okuda, is Japan's largest investment bank and brokerage, operating globally across wealth management, investment banking, and wholesale markets businesses. FY2025/26 (fiscal year ended March 2026) net revenue rose 15% YoY to ¥2,167.7B and net income reached a record ¥362.1B (+6% YoY), with ROE of 10.1% hitting the top of management's 2030 target range (8-10%+) for a second consecutive quarter [1]. Management has framed ongoing "business transformation initiatives," including plans to use AI and data to improve decision-making speed and develop new client-facing services, as a driver of the improved profitability [2]. The company's recent history has also been marked by regulatory and compliance issues, including a 2024 administrative penalty for unlawful JGB futures trading and separate employee fraud arrests in 2024 and February 2025.</w:t>
      </w:r>
    </w:p>
    <w:p>
      <w:r>
        <w:rPr>
          <w:rFonts w:ascii="Calibri" w:hAnsi="Calibri"/>
          <w:b/>
          <w:color w:val="6E8450"/>
          <w:sz w:val="18"/>
        </w:rPr>
        <w:t>28,799 Employees · https://www.nomuraholdings.com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Nomura's multi-year "business transformation initiatives" have driven record net income for a second consecutive fiscal year and ROE hitting the top of its 2030 target range for multiple consecutive quarters -- a real, sustained performance improvement, though it reflects operational execution rather than a category-redefining business model pivot [1]. AI Deployment (1/2): Leadership has publicly committed to using "AI and data to enhance operations and improve the quality and speed of decision-making" and to develop new AI-enabled client services, but no specific shipped AI product or quantified savings/revenue figure was identified, keeping this at the exploration stage [2]. Market Share (1/2): Nomura is unambiguously Japan's largest domestic investment bank and brokerage, a clear home-market leader, but it remains a mid-tier global player relative to Goldman Sachs, Morgan Stanley, and JPMorgan in wholesale/IB markets. Product Pipeline (0/2): No specific next-generation products with named launch dates or revenue visibility were identified beyond general AI strategy commentary. R&amp;D Intensity (0/1): No R&amp;D-to-revenue data relevant to a financial-services business model was identified.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Nomura's stated purpose centers on connecting markets, capital, and clients globally, a clear description of what the firm does but not deeply distinctive from other large global brokerages/investment banks. Community Impact (0/2): No distinctive charitable or community investment program was identified in available research. Employee Retention (0/2): No specific tenure or voluntary-turnover data was identified; the firm's compliance and conduct issues (below) work against, rather than for, a retention/culture case. Insider Buying (0/2): No evidence of meaningful net insider buying was identified; instead, the Compensation Committee reduced executive pay following the 2024 regulatory penalty, a governance response rather than a conviction signal.</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Dividend stock. Nomura shows strong profitability and growth: revenue growth YoY of 31.2% far exceeds the 10% target (capped at 1.0), forward P/E of 18.66 is near the 20x target (scoring ~1.0), and profit margin of 17.3% and ROE of 11.2% both fall modestly short of their 20%/15% targets, scoring 0.86 and 0.74 respectively [1]. On dividend metrics, a 5.32% yield is supported by a healthy 45.9% payout ratio (scoring 0.90 against the 40% target) and an estimated 5yr dividend growth trajectory well above the 6% target, though the firm's dividend history includes periods of cuts during past crises, moderating confidence in the consecutive-growth streak. The primary drag is D/E of 946%, which floors at 0 -- a structural feature of broker-dealer/investment-bank balance sheets (client margin financing, repo, trading inventory) that is not directly comparable to an industrial company's leverage but is scored as-is per the mechanical rubric. Liquidity is ample at ~936K average daily volume and $10.45/share (~$9.8M daily turnover).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Nomura's recent record shows real operating momentum, but the firm's public narrative is centered on ROE targets and financial transformation metrics rather than an articulated Just Cause, and its track record has been repeatedly marred by compliance failures -- a 2024 administrative penalty for unlawful JGB futures trading and separate employee fraud arrests in 2024 and February 2025 -- that work directly against Sinek's Trusting Teams and Courage to Lead dimensions.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Nomura's positioning around connecting global markets and capital is standard large-bank language rather than a distinctive, service-oriented cause; recent public communications emphasize ROE targets and transformation metrics rather than a larger purpose.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Nomura has experienced a pattern of compliance and conduct failures -- a Securities and Exchange Surveillance Commission-recommended administrative penalty for unlawful JGB futures trading (2024) and separate employee arrests for fraud in Hiroshima (2024) and again in February 2025 -- consistent with a low-trust or inadequately controlled environment rather than the psychological safety Sinek looks for.</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specific management commentary framing global competitors (Goldman Sachs, Morgan Stanley, JPMorgan) as sources of learning or improvement was identified.</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Nomura's historic acquisition of Lehman Brothers' Asian and European operations in 2008 represented a genuinely transformative bet that reshaped the firm into a more global player, and its current multi-year business transformation program shows continued willingness to evolve, though the more recent changes are operational refinements rather than a fresh existential pivot.</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Compensation Committee's decision to reduce executive pay following the 2024 regulatory penalty reflects accountability after the fact rather than proactive courageous leadership; no evidence was found of leadership sacrificing near-term earnings for long-term capability by choice, and the recurring compliance incidents suggest unresolved organizational risk rather than principled sacrifice.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Nomura enters FY2026/27 with genuine operating momentum: FY2025/26 net revenue grew 15% to ¥2,167.7B, net income hit a record ¥362.1B for the second consecutive year, and ROE of 10.1% reached the top of management's 2030 target range for a second straight quarter, reflecting real traction from the firm's multi-year business transformation program [1]. The stock offers a well-covered 5.32% dividend yield on a 45.9% payout ratio, trades at a modest 12.15x trailing / 18.66x forward P/E, and is backed by Nomura's position as Japan's dominant domestic investment bank and brokerage with a growing global wealth-management and wholesale-markets franchise.</w:t>
      </w:r>
    </w:p>
    <w:p>
      <w:pPr>
        <w:spacing w:after="120"/>
      </w:pPr>
      <w:r>
        <w:rPr>
          <w:rFonts w:ascii="Calibri" w:hAnsi="Calibri"/>
          <w:b w:val="0"/>
          <w:color w:val="3A4A28"/>
          <w:sz w:val="20"/>
        </w:rPr>
        <w:t>The bear case centers on governance and culture rather than financial performance. Nomura's recent history includes a 2024 administrative penalty from Japan's Financial Services Agency for unlawful JGB futures trading and two separate employee fraud arrests (2024 and February 2025), a pattern of compliance failures that directly undercuts the Trusting Teams and Courage to Lead dimensions of the Infinite Game score (2/10, FINITE) [3]. The extremely high D/E of 946%, while structurally typical for a broker-dealer balance sheet, still floors the corresponding Infrastructure sub-metric, and the Inspire Impact Score of -49 (MIXED, driven by an LGBT Activism attribution) may be a consideration for faith-based allocators. Combined with only moderate AI Resilience (6/10) given competitive pressure on lower-touch trading and research functions from better-resourced global peers, the stock lands in WATCH territory.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execution of the multi-year business transformation program, which has already driven ROE to the top of management's 8-10%+ 2030 target range for two consecutive quarters and produced record net income of ¥362.1B in FY2025/26 [1]</w:t>
      </w:r>
    </w:p>
    <w:p>
      <w:pPr>
        <w:spacing w:before="40" w:after="40"/>
        <w:ind w:left="283"/>
      </w:pPr>
      <w:r>
        <w:rPr>
          <w:rFonts w:ascii="Calibri" w:hAnsi="Calibri"/>
          <w:b/>
          <w:color w:val="4A6B25"/>
          <w:sz w:val="20"/>
        </w:rPr>
        <w:t xml:space="preserve">2. </w:t>
      </w:r>
      <w:r>
        <w:rPr>
          <w:rFonts w:ascii="Calibri" w:hAnsi="Calibri"/>
          <w:b w:val="0"/>
          <w:color w:val="3A4A28"/>
          <w:sz w:val="20"/>
        </w:rPr>
        <w:t>AI-driven operational efficiency and new client-service initiatives, explicitly flagged by leadership as a strategic priority, could further improve productivity and fee generation if execution follows through on stated intent [2]</w:t>
      </w:r>
    </w:p>
    <w:p>
      <w:pPr>
        <w:spacing w:before="40" w:after="40"/>
        <w:ind w:left="283"/>
      </w:pPr>
      <w:r>
        <w:rPr>
          <w:rFonts w:ascii="Calibri" w:hAnsi="Calibri"/>
          <w:b/>
          <w:color w:val="4A6B25"/>
          <w:sz w:val="20"/>
        </w:rPr>
        <w:t xml:space="preserve">3. </w:t>
      </w:r>
      <w:r>
        <w:rPr>
          <w:rFonts w:ascii="Calibri" w:hAnsi="Calibri"/>
          <w:b w:val="0"/>
          <w:color w:val="3A4A28"/>
          <w:sz w:val="20"/>
        </w:rPr>
        <w:t>A well-covered 5.32% dividend yield (45.9% payout ratio) with a multi-year growth trajectory offers an attractive income profile at a modest 12-19x earnings multiple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Recurring compliance and conduct failures -- the 2024 JGB futures trading penalty and separate 2024/2025 employee fraud arrests -- signal unresolved internal control weaknesses that could produce further regulatory or reputational damage [3]</w:t>
      </w:r>
    </w:p>
    <w:p>
      <w:pPr>
        <w:spacing w:before="40" w:after="40"/>
        <w:ind w:left="283"/>
      </w:pPr>
      <w:r>
        <w:rPr>
          <w:rFonts w:ascii="Calibri" w:hAnsi="Calibri"/>
          <w:b/>
          <w:color w:val="4A6B25"/>
          <w:sz w:val="20"/>
        </w:rPr>
        <w:t xml:space="preserve">2. </w:t>
      </w:r>
      <w:r>
        <w:rPr>
          <w:rFonts w:ascii="Calibri" w:hAnsi="Calibri"/>
          <w:b w:val="0"/>
          <w:color w:val="3A4A28"/>
          <w:sz w:val="20"/>
        </w:rPr>
        <w:t>Extremely high leverage (D/E of ~946%), while typical of broker-dealer balance sheets, leaves the firm structurally exposed to market-liquidity or funding-cost shocks during periods of stress</w:t>
      </w:r>
    </w:p>
    <w:p>
      <w:pPr>
        <w:spacing w:before="40" w:after="40"/>
        <w:ind w:left="283"/>
      </w:pPr>
      <w:r>
        <w:rPr>
          <w:rFonts w:ascii="Calibri" w:hAnsi="Calibri"/>
          <w:b/>
          <w:color w:val="4A6B25"/>
          <w:sz w:val="20"/>
        </w:rPr>
        <w:t xml:space="preserve">3. </w:t>
      </w:r>
      <w:r>
        <w:rPr>
          <w:rFonts w:ascii="Calibri" w:hAnsi="Calibri"/>
          <w:b w:val="0"/>
          <w:color w:val="3A4A28"/>
          <w:sz w:val="20"/>
        </w:rPr>
        <w:t>Lower-touch trading, research, and retail brokerage functions face real medium-term AI-driven margin compression risk from both AI-native fintech entrants and larger global peers investing more heavily in AI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Nomura's high-touch investment banking advisory, M&amp;A, and wealth-management relationship businesses carry meaningful regulatory and trust-based moats that AI cannot easily replicate, and leadership has explicitly framed human judgment, empathy, and trust-building as increasingly valuable even as AI advances [2]. However, lower-touch functions -- research production, trading execution, and parts of retail brokerage -- face real AI-driven automation and margin compression risk over time, and Nomura has not disclosed a quantified competitive AI advantage versus larger global peers (Goldman Sachs, Morgan Stanley) who are investing comparably in AI. AI Opportunity (0/1): No specific AI-driven revenue figure was identified; the firm's AI initiatives remain at the strategic/operational-efficiency stage rather than a disclosed revenue contributor.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MIXED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Nomura Holdings FY2025/26 Full-Year and Quarterly Financial Results; ROE and Net Income Records -- Nomura Plus, Nomura Holdings Investor Relations, StockTitan, 2025-2026</w:t>
      </w:r>
    </w:p>
    <w:p>
      <w:pPr>
        <w:spacing w:before="20" w:after="20"/>
        <w:ind w:left="170"/>
      </w:pPr>
      <w:r>
        <w:rPr>
          <w:rFonts w:ascii="Calibri" w:hAnsi="Calibri"/>
          <w:b/>
          <w:color w:val="4A6B25"/>
          <w:sz w:val="15"/>
        </w:rPr>
        <w:t xml:space="preserve">2. </w:t>
      </w:r>
      <w:r>
        <w:rPr>
          <w:rFonts w:ascii="Calibri" w:hAnsi="Calibri"/>
          <w:b w:val="0"/>
          <w:color w:val="3A4A28"/>
          <w:sz w:val="17"/>
        </w:rPr>
        <w:t>Message from the Group CEO; Nomura AI and Business Transformation Strategy -- Nomura Holdings,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Nomura Securities Administrative Penalty for JGB Futures Trading; Employee Fraud Arrests (2024, February 2025); Executive Compensation Reduction -- MarketScreener, SEC Form 6-K filings, 2025-2026</w:t>
      </w:r>
    </w:p>
    <w:p>
      <w:pPr>
        <w:spacing w:before="20" w:after="20"/>
        <w:ind w:left="170"/>
      </w:pPr>
      <w:r>
        <w:rPr>
          <w:rFonts w:ascii="Calibri" w:hAnsi="Calibri"/>
          <w:b/>
          <w:color w:val="4A6B25"/>
          <w:sz w:val="15"/>
        </w:rPr>
        <w:t xml:space="preserve">4. </w:t>
      </w:r>
      <w:r>
        <w:rPr>
          <w:rFonts w:ascii="Calibri" w:hAnsi="Calibri"/>
          <w:b w:val="0"/>
          <w:color w:val="3A4A28"/>
          <w:sz w:val="17"/>
        </w:rPr>
        <w:t>Nomura Holdings (NMR) Dividend Yield, Payout Ratio, and Growth History -- Investing.com, Zacks,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Nomura Holdings Total Employees Worldwide -- Revelio Labs,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yfinance / data.fetcher key statistics for NMR --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