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NOK</w:t>
      </w:r>
      <w:r>
        <w:rPr>
          <w:rFonts w:ascii="Calibri" w:hAnsi="Calibri"/>
          <w:b/>
          <w:color w:val="1A2010"/>
          <w:sz w:val="40"/>
        </w:rPr>
        <w:t xml:space="preserve">  Nokia Corporation</w:t>
      </w:r>
    </w:p>
    <w:p>
      <w:pPr>
        <w:spacing w:after="120"/>
      </w:pPr>
      <w:r>
        <w:rPr>
          <w:rFonts w:ascii="Calibri" w:hAnsi="Calibri"/>
          <w:b/>
          <w:color w:val="6E8450"/>
          <w:sz w:val="18"/>
        </w:rPr>
        <w:t>GROWTH SLEEVE · 2026-10-03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NYQ · Finland</w:t>
      </w:r>
    </w:p>
    <w:p>
      <w:pPr>
        <w:spacing w:after="80"/>
      </w:pPr>
      <w:r>
        <w:rPr>
          <w:rFonts w:ascii="Calibri" w:hAnsi="Calibri"/>
          <w:b w:val="0"/>
          <w:color w:val="3A4A28"/>
          <w:sz w:val="20"/>
        </w:rPr>
        <w:t>Nokia provides optical, IP, fixed and mobile network infrastructure and related software to telecom operators, hyperscalers and enterprises. Under CEO Justin Hotard since April 2025 it is pivoting toward AI and cloud data-center networking after the Infinera acquisition. Q2 2026 net sales were EUR 4.88B (+9% YoY) with net sales to AI and Cloud customers up 105% and an order backlog of EUR 19.5B at year-end 2025 [1].</w:t>
      </w:r>
    </w:p>
    <w:p>
      <w:r>
        <w:rPr>
          <w:rFonts w:ascii="Calibri" w:hAnsi="Calibri"/>
          <w:b/>
          <w:color w:val="6E8450"/>
          <w:sz w:val="18"/>
        </w:rPr>
        <w:t>86,000 Employees · https://www.nokia.com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Nokia pivoted from handsets to networks and is now repositioning to AI and data-center networking, acquiring Infinera for optical and launching a Technology and AI organization on October 1, 2025 [2]. AI Deployment (2/2): net sales to AI and Cloud customers grew 105% in Q2 2026 and H1 2026 reported AI orders [1]. Market Share (1/2): top-three global RAN and optical vendor but not a leader in data-center switching. Pipeline (1/2): Network Infrastructure sales guided +12-14% for 2026 with IP and Optical +18-20%, but dated next-generation product launches are limited [1]. R&amp;D Intensity (1/1): R&amp;D runs near 20% of sales, above the communication equipment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Nokia's 'Connecting Intelligence' and 'create technology that helps the world act together' purpose is specific and tied to critical infrastructure, though newly reframed under Hotard [2]. Community Impact (1/2): a structured ESG strategy covers bridging the digital divide and a Sustainalytics controversy rating of only 2.0, but no dollar-quantified distinctive programs were found [3]. Employee Retention (0/2): repeated restructurings and the 2025 reorganization removing the mobile chief signal instability, and no tenure data was found [2]. Insider Buying (0/2): no meaningful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on available metrics (PEG unavailable, excluded). D/E 15.8% (1.0) is excellent, but ROE of 3.5% scores 0.23 (2x weight), profit margin of 3.5% scores 0.17, 5-yr revenue CAGR of about -2% scores 0.20 (2x weight), revenue growth of 8.4% YoY scores 0.94, and forward P/E of 21.9 scores 0.95 [1]. Daily dollar volume of ~$890M clears the liquidity floor. Weighted score 4.9, rounded to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Nokia has reinvented itself more than once, from rubber and cables to mobile phones to networks and now AI infrastructure, which is real existential flexibility. Under Hotard the cause is being rewritten again, with leadership reshuffles and a 'winning together' culture message, so Sinek would see a company still searching for a durable Just Cause rather than living one.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'Connecting Intelligence' is a recent reframing of a purpose that has been restated with each strategy cycle, so it has not been validated by multi-decade consistency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successive restructurings, an executive reshuffle that removed the mobile networks chief, and a push to a 'high-performance culture' point to an organization in flux rather than a circle of safety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'Team Nokia, winning together' language and competitive focus on share against Ericsson and Huawei are framed around winning rather than learning from rivals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Nokia exited handsets, bought Alcatel-Lucent, and is now acquiring Infinera and building an AI division to shift toward data-center networking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Hotard is reorganizing and committing capital to AI infrastructure while operating margin is only 9%, but the program is early and mobile networks restructuring costs are still being absorbed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Nokia at $10.60 is a turnaround with a credible AI tailwind: Q2 2026 net sales rose 9% to EUR 4.88B, gross margin expanded 70bp to 46%, operating margin rose 70bp to 9%, and AI and Cloud sales more than doubled (+105%) [1]. Network Infrastructure is guided +12-14% for 2026, a EUR 19.5B backlog (57% recognized within a year) gives visibility, and a balance sheet with D/E of 15.8% leaves room to invest [1].</w:t>
      </w:r>
    </w:p>
    <w:p>
      <w:pPr>
        <w:spacing w:after="120"/>
      </w:pPr>
      <w:r>
        <w:rPr>
          <w:rFonts w:ascii="Calibri" w:hAnsi="Calibri"/>
          <w:b w:val="0"/>
          <w:color w:val="3A4A28"/>
          <w:sz w:val="20"/>
        </w:rPr>
        <w:t>The bear case is that profitability is thin and valuation already prices the turnaround: ROE is 3.5%, profit margin 3.5%, trailing EPS fell 98% and forward P/E is 21.9x [1]. The 5-year revenue trend is negative, mobile networks remains a drag, backlog slipped from EUR 20.0B to EUR 19.5B in 2025, and Nokia competes against larger AI-networking incumbents [1]. Strategy and org changes under a new CEO create execution risk, and the Inspire score of 0 gives no faith signal either way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and Cloud customer sales (+105% in Q2 2026) scaling as hyperscalers buy optical and IP networking, supported by Infinera integration [1]</w:t>
      </w:r>
    </w:p>
    <w:p>
      <w:pPr>
        <w:spacing w:before="40" w:after="40"/>
        <w:ind w:left="283"/>
      </w:pPr>
      <w:r>
        <w:rPr>
          <w:rFonts w:ascii="Calibri" w:hAnsi="Calibri"/>
          <w:b/>
          <w:color w:val="4A6B25"/>
          <w:sz w:val="20"/>
        </w:rPr>
        <w:t xml:space="preserve">2. </w:t>
      </w:r>
      <w:r>
        <w:rPr>
          <w:rFonts w:ascii="Calibri" w:hAnsi="Calibri"/>
          <w:b w:val="0"/>
          <w:color w:val="3A4A28"/>
          <w:sz w:val="20"/>
        </w:rPr>
        <w:t>Network Infrastructure growth of 12-14% in 2026 with IP and Optical +18-20%, driving operating margin expansion beyond 9% [1]</w:t>
      </w:r>
    </w:p>
    <w:p>
      <w:pPr>
        <w:spacing w:before="40" w:after="40"/>
        <w:ind w:left="283"/>
      </w:pPr>
      <w:r>
        <w:rPr>
          <w:rFonts w:ascii="Calibri" w:hAnsi="Calibri"/>
          <w:b/>
          <w:color w:val="4A6B25"/>
          <w:sz w:val="20"/>
        </w:rPr>
        <w:t xml:space="preserve">3. </w:t>
      </w:r>
      <w:r>
        <w:rPr>
          <w:rFonts w:ascii="Calibri" w:hAnsi="Calibri"/>
          <w:b w:val="0"/>
          <w:color w:val="3A4A28"/>
          <w:sz w:val="20"/>
        </w:rPr>
        <w:t>Conversion of the EUR 19.5B order backlog, with 57% scheduled for recognition within a year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Thin profitability: ROE 3.5% and 3.5% net margin leave little cushion if mobile networks demand or operator capex weakens [1]</w:t>
      </w:r>
    </w:p>
    <w:p>
      <w:pPr>
        <w:spacing w:before="40" w:after="40"/>
        <w:ind w:left="283"/>
      </w:pPr>
      <w:r>
        <w:rPr>
          <w:rFonts w:ascii="Calibri" w:hAnsi="Calibri"/>
          <w:b/>
          <w:color w:val="4A6B25"/>
          <w:sz w:val="20"/>
        </w:rPr>
        <w:t xml:space="preserve">2. </w:t>
      </w:r>
      <w:r>
        <w:rPr>
          <w:rFonts w:ascii="Calibri" w:hAnsi="Calibri"/>
          <w:b w:val="0"/>
          <w:color w:val="3A4A28"/>
          <w:sz w:val="20"/>
        </w:rPr>
        <w:t>Execution risk from a new CEO, new AI division, Infinera integration and ongoing reorganizations, with talent competition in AI [2]</w:t>
      </w:r>
    </w:p>
    <w:p>
      <w:pPr>
        <w:spacing w:before="40" w:after="40"/>
        <w:ind w:left="283"/>
      </w:pPr>
      <w:r>
        <w:rPr>
          <w:rFonts w:ascii="Calibri" w:hAnsi="Calibri"/>
          <w:b/>
          <w:color w:val="4A6B25"/>
          <w:sz w:val="20"/>
        </w:rPr>
        <w:t xml:space="preserve">3. </w:t>
      </w:r>
      <w:r>
        <w:rPr>
          <w:rFonts w:ascii="Calibri" w:hAnsi="Calibri"/>
          <w:b w:val="0"/>
          <w:color w:val="3A4A28"/>
          <w:sz w:val="20"/>
        </w:rPr>
        <w:t>Competition from Huawei, Ericsson, Ciena, Cisco and Nvidia-aligned vendors in AI networking, plus a 5-year revenue CAGR that is still negative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Nokia sells physical optical, IP and radio infrastructure under multi-year operator and hyperscaler contracts, and AI data-center buildouts increase demand for its optical and IP networking, with AI and Cloud sales up 105% in Q2 2026 [1]. AI cannot substitute for network hardware, though software and services lines face some automation pressure and competition from Huawei, Ciena and Cisco. AI Opportunity (1/1): AI and Cloud customers are now a quantified, rapidly growing revenue line and H1 2026 included AI orders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Nokia Q1 and Q2 2026 results and H1 2026 6-K filings, SEC and Investing.com transcripts, 2026</w:t>
      </w:r>
    </w:p>
    <w:p>
      <w:pPr>
        <w:spacing w:before="20" w:after="20"/>
        <w:ind w:left="170"/>
      </w:pPr>
      <w:r>
        <w:rPr>
          <w:rFonts w:ascii="Calibri" w:hAnsi="Calibri"/>
          <w:b/>
          <w:color w:val="4A6B25"/>
          <w:sz w:val="15"/>
        </w:rPr>
        <w:t xml:space="preserve">2. </w:t>
      </w:r>
      <w:r>
        <w:rPr>
          <w:rFonts w:ascii="Calibri" w:hAnsi="Calibri"/>
          <w:b w:val="0"/>
          <w:color w:val="3A4A28"/>
          <w:sz w:val="17"/>
        </w:rPr>
        <w:t>Nokia leadership and AI strategy: Fortune (December 2025), TelecomTV, Digital Commerce 360 (September 2025), Yahoo Finance</w:t>
      </w:r>
    </w:p>
    <w:p>
      <w:pPr>
        <w:spacing w:before="20" w:after="20"/>
        <w:ind w:left="170"/>
      </w:pPr>
      <w:r>
        <w:rPr>
          <w:rFonts w:ascii="Calibri" w:hAnsi="Calibri"/>
          <w:b/>
          <w:color w:val="4A6B25"/>
          <w:sz w:val="15"/>
        </w:rPr>
        <w:t xml:space="preserve">3. </w:t>
      </w:r>
      <w:r>
        <w:rPr>
          <w:rFonts w:ascii="Calibri" w:hAnsi="Calibri"/>
          <w:b w:val="0"/>
          <w:color w:val="3A4A28"/>
          <w:sz w:val="17"/>
        </w:rPr>
        <w:t>Nokia 2024 Sustainability Statement and Sustainalytics ESG ratings via Yahoo Finance,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NOK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