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NOV</w:t>
      </w:r>
      <w:r>
        <w:rPr>
          <w:rFonts w:ascii="Calibri" w:hAnsi="Calibri"/>
          <w:b/>
          <w:color w:val="1A2010"/>
          <w:sz w:val="40"/>
        </w:rPr>
        <w:t xml:space="preserve">  NOV Inc.</w:t>
      </w:r>
    </w:p>
    <w:p>
      <w:pPr>
        <w:spacing w:after="120"/>
      </w:pPr>
      <w:r>
        <w:rPr>
          <w:rFonts w:ascii="Calibri" w:hAnsi="Calibri"/>
          <w:b/>
          <w:color w:val="6E8450"/>
          <w:sz w:val="18"/>
        </w:rPr>
        <w:t>GROWTH SLEEVE · 2026-08-29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NOV Inc. designs, manufactures, and sells equipment and technology used in oil and gas drilling and production operations worldwide. The company operates through two segments: Energy Equipment (rig systems, marine and offshore equipment, wellbore technologies) and Energy Products and Services (completion tools, tubulars, fiberglass systems, and process and flow technologies). Expanding into low-carbon solutions including electrified drilling rigs, offshore wind installation vessels, and carbon capture technology.</w:t>
      </w:r>
    </w:p>
    <w:p>
      <w:r>
        <w:rPr>
          <w:rFonts w:ascii="Calibri" w:hAnsi="Calibri"/>
          <w:b/>
          <w:color w:val="6E8450"/>
          <w:sz w:val="18"/>
        </w:rPr>
        <w:t>35,000 Employees · https://www.nov.com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NOV has incrementally expanded beyond traditional oilfield equipment into low-carbon solutions generating $339M in revenue in 2024, including electrified drilling rigs, offshore wind installation vessels, and carbon capture technologies [5]. This represents a meaningful new revenue stream but is evolutionary rather than transformative — the core business model remains oilfield equipment manufacturing. AI Deployment (1/2): NOV deploys machine learning and predictive analytics through its industrial data platform, enabling real-time equipment monitoring, predictive maintenance, and operational optimization for drilling operations [4]. AI deployed in operations but specific revenue or cost savings not separately quantified. Market Share (1/2): NOV is a top-tier oilfield equipment manufacturer with leading positions in rig systems, drill pipe, and subsea flexible pipe. Meaningful player but operating in a fragmented, cyclical industry without dominant category-defining share [1][2]. Product Pipeline (1/2): Expanding pipeline in electrified rigs, offshore wind, and carbon capture technology. Q1 2026 orders included subsea flexible pipe awards in Brazil/Europe and a North Sea rig reactivation [2]. General pipeline activity but vague next-gen timelines. R&amp;D Intensity (0/1): R&amp;D spending at or near industry average for oilfield services equipment manufacturers.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NOV's stated purpose centers on 'powering the industry that powers the world' and enabling safe, efficient energy production. Generic and interchangeable with any major oilfield services company — the mission describes what NOV does without articulating a deeper purpose beyond serving the energy industry. Community Impact (0/2): Standard corporate sustainability programs and HSE initiatives. No distinctive charitable programs or community investment with specific dollar amounts or measurable impact identified in research. Employee Retention (1/2): Leadership transition from Clay Williams (retiring) to Jose Bayardo (new CEO effective January 2026) was orderly and well-planned, with Bayardo promoted from within after serving as COO and CFO [4]. Glassdoor 3.5/5.0 with mixed reviews — employees cite good benefits but concerns about senior leadership and culture [6]. Average retention indicators. Insider Buying (0/2): No evidence of meaningful net insider buying in the last 12 months. CEO transition period with routine insider transactions.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balance sheet and attractive valuation offset by thin profitability and tepid growth. D/E of 37% scores perfectly at 1.0, reflecting NOV's conservative capital structure with manageable leverage [3]. ROE of 1.54% scores 0.10, significantly below the 15% target as the company's $95M TTM net income against $7.5B equity produces anemic returns [3]. Revenue growth YoY of -2% scores 0.60 (Q2 2026 revenue of $2.13B, down 2% from Q2 2025) [1]. Revenue 5yr CAGR of approximately 7% scores 0.80, from ~$6.1B (FY2020) to ~$8.6B (FY2025) [3]. Forward P/E of 18.9 scores perfectly at 1.0, below the 20 target [3]. Profit margin of 1.10% scores 0.055, reflecting razor-thin profitability on $8.6B TTM revenue — adjusted operating profit was $190M in Q2 but GAAP net margin remains near breakeven [1][3]. Forward PEG of 1.82 scores 0.59, suggesting moderate valuation relative to expected earnings recovery [3]. Liquidity floor cleared: 3.18M avg volume x $20.99 = $66.8M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NOV operates with a primarily finite-game mindset, focused on quarterly execution and financial engineering (share buybacks, cost reductions) rather than pursuing a transformative purpose. The company is beginning to evolve toward energy transition products, but the Just Cause is weak, competitive behavior is market-share focused, and the organizational culture lacks evidence of the deep trust and purpose-driven decision-making that characterize infinite players [1][4][5].</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NOV's purpose of serving the energy industry with equipment and technology is functional rather than inspirational. The recent expansion into low-carbon solutions ($339M in 2024 revenue from electrified rigs, offshore wind, carbon capture) suggests an evolving sense of purpose beyond fossil fuels, but this is commercially motivated rather than cause-driven [5]. Leadership doesn't reference a higher purpose in strategic decisions — Q2 2026 earnings focused on margins, buybacks, and operational excellence rather than advancing a vision of a better energy future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transition from Clay Williams to Jose Bayardo was orderly, with Bayardo promoted from within after 15+ years at NOV (CFO then COO), demonstrating leadership continuity and internal development [4]. The 35,000-employee organization operates across global manufacturing sites with adequate stability. Glassdoor 3.5/5.0 is average — employees cite benefits and coworkers as positives but raise concerns about senior leadership and culture [6]. No evidence of exceptional trust, but no major red flags either.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NOV operates in the oilfield services market with a traditional competitive mindset focused on market share and order capture. Competitive language in earnings calls centers on winning contracts and pricing advantage rather than learning from rivals' strengths [1][2]. No evidence of management citing competitors like Baker Hughes, Halliburton, or TechnipFMC as worthy rivals whose strengths reveal NOV's own weaknesses.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NOV has incrementally evolved from a pure oilfield services equipment company to include energy transition products — electrified drilling rigs, offshore wind installation vessels, and carbon capture technology generating $339M in 2024 revenue [5]. This is meaningful diversification but represents incremental evolution within adjacent markets, not the transformative reinvention that Sinek describes. The company has not fundamentally abandoned its core oilfield business to pursue the energy transition — it is adding to the existing model, not replacing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investment in low-carbon solutions while core oilfield revenue remains the bread-and-butter business shows some willingness to invest in long-term capability [5]. The orderly CEO transition from Williams to Bayardo demonstrates succession planning. However, NOV's primary capital allocation strategy — share buybacks ($63M in Q2 2026) and maintaining a high dividend payout ratio (168%) despite thin earnings — reflects a focus on near-term shareholder returns over long-term investment [1][3]. No evidence of leadership making costly long-term bets that sacrifice near-term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NOV offers deep value characteristics with a forward P/E of 18.9 and conservative 37% D/E ratio, backed by a $4.08B capital equipment backlog providing revenue visibility [1][3]. Q2 2026 demonstrated margin expansion with adjusted EBITDA of $283M (13.3% of sales), a record level driven by operational excellence, favorable pricing, and cost reductions. EPS growth of 35% YoY signals that the earnings power of the business is recovering even as top-line revenue remains flat. The energy transition portfolio ($339M in low-carbon solutions revenue) positions NOV for secular demand growth in offshore wind and carbon capture [5]. Share buybacks ($63M in Q2) and a 2.14% dividend yield provide capital return while waiting for the oilfield cycle to turn.</w:t>
      </w:r>
    </w:p>
    <w:p>
      <w:pPr>
        <w:spacing w:after="120"/>
      </w:pPr>
      <w:r>
        <w:rPr>
          <w:rFonts w:ascii="Calibri" w:hAnsi="Calibri"/>
          <w:b w:val="0"/>
          <w:color w:val="3A4A28"/>
          <w:sz w:val="20"/>
        </w:rPr>
        <w:t>The primary bear case is cyclical revenue stagnation and deteriorating order momentum. Q2 2026 revenue of $2.13B declined 2% YoY, and the capital equipment book-to-bill ratio has fallen to 74% — well below 1.0 for two consecutive quarters, signaling backlog depletion ahead [1][2]. The $4.08B backlog is down $220M from the year-ago level, with Q3 guidance of flat to 2% revenue growth offering little near-term upside. Profit margin of just 1.10% and ROE of 1.54% indicate the company struggles to generate adequate returns on its large asset base [3]. The 168% payout ratio is unsustainable if earnings don't recover, and the Altman Z-Score of 1.97 flags elevated financial stress. NOV remains deeply exposed to oil price cyclicality and the secular decline thesis for fossil fuel demand, with low-carbon solutions still representing a small fraction of total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Adjusted EBITDA margin expansion to 13.3% of sales in Q2 2026 (record level) driven by operational excellence and cost reductions, with potential for further margin improvement as pricing discipline continues [1]</w:t>
      </w:r>
    </w:p>
    <w:p>
      <w:pPr>
        <w:spacing w:before="40" w:after="40"/>
        <w:ind w:left="283"/>
      </w:pPr>
      <w:r>
        <w:rPr>
          <w:rFonts w:ascii="Calibri" w:hAnsi="Calibri"/>
          <w:b/>
          <w:color w:val="4A6B25"/>
          <w:sz w:val="20"/>
        </w:rPr>
        <w:t xml:space="preserve">2. </w:t>
      </w:r>
      <w:r>
        <w:rPr>
          <w:rFonts w:ascii="Calibri" w:hAnsi="Calibri"/>
          <w:b w:val="0"/>
          <w:color w:val="3A4A28"/>
          <w:sz w:val="20"/>
        </w:rPr>
        <w:t>Energy transition revenue growth from $339M in 2024 toward $500M+ as electrified drilling rigs, offshore wind installation vessels, and carbon capture technology capture secular demand tailwinds [5]</w:t>
      </w:r>
    </w:p>
    <w:p>
      <w:pPr>
        <w:spacing w:before="40" w:after="40"/>
        <w:ind w:left="283"/>
      </w:pPr>
      <w:r>
        <w:rPr>
          <w:rFonts w:ascii="Calibri" w:hAnsi="Calibri"/>
          <w:b/>
          <w:color w:val="4A6B25"/>
          <w:sz w:val="20"/>
        </w:rPr>
        <w:t xml:space="preserve">3. </w:t>
      </w:r>
      <w:r>
        <w:rPr>
          <w:rFonts w:ascii="Calibri" w:hAnsi="Calibri"/>
          <w:b w:val="0"/>
          <w:color w:val="3A4A28"/>
          <w:sz w:val="20"/>
        </w:rPr>
        <w:t>Aggressive share buyback program ($63M in Q2 2026, 3.2M shares retired) at a forward P/E of 18.9 creates value for remaining shareholders while the stock trades near cycle-trough earnings multiples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Capital equipment book-to-bill ratio of 74% in Q2 2026 (80% in Q1) signals backlog depletion — two consecutive quarters below 1.0 with orders of just $474M against $638M in shipments threatens revenue visibility into 2027 [1][2]</w:t>
      </w:r>
    </w:p>
    <w:p>
      <w:pPr>
        <w:spacing w:before="40" w:after="40"/>
        <w:ind w:left="283"/>
      </w:pPr>
      <w:r>
        <w:rPr>
          <w:rFonts w:ascii="Calibri" w:hAnsi="Calibri"/>
          <w:b/>
          <w:color w:val="4A6B25"/>
          <w:sz w:val="20"/>
        </w:rPr>
        <w:t xml:space="preserve">2. </w:t>
      </w:r>
      <w:r>
        <w:rPr>
          <w:rFonts w:ascii="Calibri" w:hAnsi="Calibri"/>
          <w:b w:val="0"/>
          <w:color w:val="3A4A28"/>
          <w:sz w:val="20"/>
        </w:rPr>
        <w:t>Profit margin of 1.10% and ROE of 1.54% indicate the business generates inadequate returns on its $7.5B equity base; if margins compress further from the current cycle peak, the dividend (168% payout ratio) becomes unsustainable [3]</w:t>
      </w:r>
    </w:p>
    <w:p>
      <w:pPr>
        <w:spacing w:before="40" w:after="40"/>
        <w:ind w:left="283"/>
      </w:pPr>
      <w:r>
        <w:rPr>
          <w:rFonts w:ascii="Calibri" w:hAnsi="Calibri"/>
          <w:b/>
          <w:color w:val="4A6B25"/>
          <w:sz w:val="20"/>
        </w:rPr>
        <w:t xml:space="preserve">3. </w:t>
      </w:r>
      <w:r>
        <w:rPr>
          <w:rFonts w:ascii="Calibri" w:hAnsi="Calibri"/>
          <w:b w:val="0"/>
          <w:color w:val="3A4A28"/>
          <w:sz w:val="20"/>
        </w:rPr>
        <w:t>Secular decline risk for oilfield services demand as global energy transition accelerates — NOV's low-carbon solutions ($339M) remain a small fraction of $8.6B total revenue, insufficient to offset a structural decline in fossil fuel capital spending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NOV manufactures physical drilling equipment — rig systems, drill pipe, subsea flexible pipe, valves, and completion tools — in operations involving extreme temperatures, pressures, and hostile offshore environments [1][2]. This deeply physical manufacturing and field service business is structurally immune to AI substitution. AI cannot replace the fabrication of a 30,000-foot drill string, the assembly of a semi-submersible rig, or the deployment of subsea equipment in 10,000 feet of water. Regulatory requirements (API standards, BSEE compliance) add additional moats. AI may actually increase demand for NOV's monitoring and predictive analytics services as operators seek to optimize equipment utilization and reduce downtime. AI Opportunity (0/1): NOV deploys ML-based predictive analytics internally through its industrial data platform, but this does not generate separately quantifiable AI revenue. The company uses AI to enhance existing services rather than selling AI products directly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NOV Q2 2026 Earnings Release — NOV IR/GlobeNewsWire, July 28, 2026</w:t>
      </w:r>
    </w:p>
    <w:p>
      <w:pPr>
        <w:spacing w:before="20" w:after="20"/>
        <w:ind w:left="170"/>
      </w:pPr>
      <w:r>
        <w:rPr>
          <w:rFonts w:ascii="Calibri" w:hAnsi="Calibri"/>
          <w:b/>
          <w:color w:val="4A6B25"/>
          <w:sz w:val="15"/>
        </w:rPr>
        <w:t xml:space="preserve">2. </w:t>
      </w:r>
      <w:r>
        <w:rPr>
          <w:rFonts w:ascii="Calibri" w:hAnsi="Calibri"/>
          <w:b w:val="0"/>
          <w:color w:val="3A4A28"/>
          <w:sz w:val="17"/>
        </w:rPr>
        <w:t>NOV Q1 2026 Earnings Release — NOV IR, April 27,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NOV Key Statistics and Financial Data,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NOV Leadership Transition Announcement — Clay Williams to Jose Bayardo, January 2026</w:t>
      </w:r>
    </w:p>
    <w:p>
      <w:pPr>
        <w:spacing w:before="20" w:after="20"/>
        <w:ind w:left="170"/>
      </w:pPr>
      <w:r>
        <w:rPr>
          <w:rFonts w:ascii="Calibri" w:hAnsi="Calibri"/>
          <w:b/>
          <w:color w:val="4A6B25"/>
          <w:sz w:val="15"/>
        </w:rPr>
        <w:t xml:space="preserve">5. </w:t>
      </w:r>
      <w:r>
        <w:rPr>
          <w:rFonts w:ascii="Calibri" w:hAnsi="Calibri"/>
          <w:b w:val="0"/>
          <w:color w:val="3A4A28"/>
          <w:sz w:val="17"/>
        </w:rPr>
        <w:t>NOV 2024 Sustainability Report — Low-Carbon Solutions Revenue and ESG Initiatives, 2024</w:t>
      </w:r>
    </w:p>
    <w:p>
      <w:pPr>
        <w:spacing w:before="20" w:after="20"/>
        <w:ind w:left="170"/>
      </w:pPr>
      <w:r>
        <w:rPr>
          <w:rFonts w:ascii="Calibri" w:hAnsi="Calibri"/>
          <w:b/>
          <w:color w:val="4A6B25"/>
          <w:sz w:val="15"/>
        </w:rPr>
        <w:t xml:space="preserve">6. </w:t>
      </w:r>
      <w:r>
        <w:rPr>
          <w:rFonts w:ascii="Calibri" w:hAnsi="Calibri"/>
          <w:b w:val="0"/>
          <w:color w:val="3A4A28"/>
          <w:sz w:val="17"/>
        </w:rPr>
        <w:t>Glassdoor — NOV Employee Reviews (3,866 reviews),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NOV Key Statistics,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