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NRIX</w:t>
      </w:r>
      <w:r>
        <w:rPr>
          <w:rFonts w:ascii="Calibri" w:hAnsi="Calibri"/>
          <w:b/>
          <w:color w:val="1A2010"/>
          <w:sz w:val="40"/>
        </w:rPr>
        <w:t xml:space="preserve">  Nurix Therapeutics, Inc.</w:t>
      </w:r>
    </w:p>
    <w:p>
      <w:pPr>
        <w:spacing w:after="120"/>
      </w:pPr>
      <w:r>
        <w:rPr>
          <w:rFonts w:ascii="Calibri" w:hAnsi="Calibri"/>
          <w:b/>
          <w:color w:val="6E8450"/>
          <w:sz w:val="18"/>
        </w:rPr>
        <w:t>GROWTH SLEEVE · 2026-09-26 · Inspire: 36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Biotechnology · NASDAQ · United States</w:t>
      </w:r>
    </w:p>
    <w:p>
      <w:pPr>
        <w:spacing w:after="80"/>
      </w:pPr>
      <w:r>
        <w:rPr>
          <w:rFonts w:ascii="Calibri" w:hAnsi="Calibri"/>
          <w:b w:val="0"/>
          <w:color w:val="3A4A28"/>
          <w:sz w:val="20"/>
        </w:rPr>
        <w:t>Nurix Therapeutics is a clinical-stage biopharmaceutical company pioneering degrader-based medicine through targeted protein degradation. The company's proprietary DEL-AI Discovery Engine leverages machine learning across a library of over 5 billion unique DEL compounds to predict novel binders for disease-relevant protein targets and E3 ligase proteins. Lead candidate bexobrutideg (BTK degrader) is in the pivotal Phase 2 DAYBreak CLL-201 trial for chronic lymphocytic leukemia. In July 2026, Nurix's global collaboration with Roche (up to $2.3B including a $700M upfront payment) formally closed following HSR antitrust clearance. FY2025 (ended November 30, 2025) revenue was $84.0M, up from $54.5M in FY2024, driven by Sanofi license extension milestones; the company carries a $1.1B+ accumulated deficit and is headquartered in San Francisco/Brisbane, California.</w:t>
      </w:r>
    </w:p>
    <w:p>
      <w:r>
        <w:rPr>
          <w:rFonts w:ascii="Calibri" w:hAnsi="Calibri"/>
          <w:b/>
          <w:color w:val="6E8450"/>
          <w:sz w:val="18"/>
        </w:rPr>
        <w:t>317 Employees · https://www.nurixtx.com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Nurix has advanced from a pure discovery-stage company to a clinical-stage biotech with a validated platform, culminating in the Roche global collaboration for bexobrutideg (up to $2.3B, $700M upfront) that formally closed in July 2026 after HSR clearance [2]. This is one significant partnership that opened a major new capital and validation stream, though no product has yet reached market approval. AI Deployment (2/2): The DEL-AI Discovery Engine is a fully AI-integrated drug discovery platform — machine learning models trained on over 5 billion unique DEL compounds predict novel binders for nearly any disease-relevant protein target, directly enabling the pipeline that attracted Roche, Sanofi, Pfizer, and Gilead as partners [2]. Market Share (1/2): Nurix is a meaningful player in targeted protein degradation alongside Arvinas, Kymera Therapeutics, and C4 Therapeutics, but is not yet the dominant category leader. Product Pipeline (2/2): Bexobrutideg is in the pivotal DAYBreak CLL-201 Phase 2 trial and the NX-5948-301 Phase 1a/1b trial, with Roche milestone payments providing specific near-term financial visibility on top of ongoing Sanofi (research milestones of $7.0M in FY2025, $2M in Q2 FY2026) and Pfizer ($5.0M in FY2025) collaboration revenue [1][2]. R&amp;D Intensity (1/1): FY2025 R&amp;D expense of $316.9M (up from $221.6M in FY2024) dramatically exceeds total revenue, reflecting top-tier R&amp;D intensity as the company accelerates pivotal trial enrollment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'Medicines to Outmatch Disease' is a specific and thoughtful purpose connecting Nurix's degrader platform to a vision of treating diseases previously considered undruggable, and the mission has directly shaped a decade of platform investment [2]. Community Impact (1/2): Nurix was selected as a Cancer Grand Challenges awardee to address pediatric cancers using targeted protein degradation, a distinctive scientific contribution beyond commercial programs [3]. Employee Retention (0/2): With 317 employees in a competitive Bay Area biotech labor market, no specific turnover or tenure data is publicly available to support a positive score. Insider Buying (0/2): Insider activity is net negative — Chief Legal Officer Christine Ring sold 5,394 shares for ~$90,000 in May 2026 and separately sold 11,008 option-exercise shares at a weighted average price of $23.56, part of 22 total insider sells over the trailing year with no insider buys and approximately $1.7M in net insider selling in the most recent three months [4].</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as a Growth-sleeve stock on available metrics only; Forward P/E, PEG, and profit margin are excluded as not meaningful for a pre-revenue, deep-loss clinical-stage biotech (forward P/E is mathematically negative at -21.6x) and 5-year revenue CAGR is excluded because collaboration/license revenue is too lumpy (FY2025 revenue grew 54% to $84.0M on Sanofi milestones, while the most recent quarter fell 80% as those one-time payments rolled off) [1][5]. Of the three metrics retained: D/E of 14.4% is well below the 70% target (score 1.0, 1x weight); ROE of -80.3% sits at the negative floor (score 0.0, 2x weight); and revenue growth YoY of -79.5% is below the -20% floor (score 0.0, 1x weight) due to the Sanofi milestone rolloff. Weighted sum of 1.0 across 4 weight units yields an Infrastructure score of 2 (1.0/4*10=2.5, rounded down). Liquidity is not a constraint: average daily volume of ~1.35M shares at $23.01 equals ~$31M in daily dollar turnover, well above the $1M floor.</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Nurix demonstrates genuine infinite game characteristics for a clinical-stage biotech: a purpose-driven mission to pioneer degrader-based medicine, sustained heavy R&amp;D investment ($316.9M in FY2025) through years of losses, and a willingness to co-develop bexobrutideg with Roche rather than go it alone. The DEL-AI platform is a long-term capability investment transcending any single drug candidate. However, the 10-year operating history is too short to validate enduring commitment through a major crisis, and consistent net insider selling introduces a note of caution about internal conviction.</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'Medicines to Outmatch Disease' through targeted protein degradation connects Nurix's work to treating diseases current medicine cannot address, and the decade-long investment in the DEL-AI platform through $1.1B+ in accumulated losses demonstrates the purpose shapes strategy [2]. The Cancer Grand Challenges pediatric cancer award extends the mission beyond commercial interests [3]. The cause remains untested through clinical failure or multi-decade consistency.</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Nurix's 317-person team operates under CEO Arthur Sands (MD, PhD), with continuity of key scientific leadership through the company's evolution from research to pivotal-stage clinical development in an intensely competitive Bay Area talent market [2]. No specific employee satisfaction, tenure, or voluntary turnover data is publicly available to confirm exceptional trust.</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Nurix openly acknowledges the competitive landscape in targeted protein degradation — Arvinas, Kymera Therapeutics, and C4 Therapeutics pursue similar biology — and frames the Roche partnership as platform validation rather than a competitive victory, sharpening its own discovery-engine differentiation in response [1][2].</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Nurix evolved from a pure discovery-stage research company to a clinical-stage biotech with a validated AI platform, and the July 2026 Roche global collaboration — sharing 40%/60% development costs and 50/50 U.S. commercialization economics — shows willingness to trade full ownership for capital and development capability [2]. The core discover-and-develop-degraders business model has remained consistent since founding.</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Nurix sustained $316.9M in FY2025 R&amp;D spending against a fraction of that in revenue, accumulating $1.1B+ in losses to advance the DEL-AI platform and pivotal bexobrutideg trial [1]. Securing $700M upfront from Roche to fund the pivotal trial without further shareholder dilution reflects disciplined capital allocation, though this follows standard biotech financing patterns rather than representing exceptional risk-taking.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The $2.3B Roche global collaboration for bexobrutideg (including a $700M upfront payment) formally closed in July 2026 following HSR antitrust clearance, validating Nurix's DEL-AI drug discovery platform and de-risking the pivotal DAYBreak CLL-201 trial with a top-5 global pharma partner sharing 60% of U.S. development costs [2]. FY2025 revenue grew 54% to $84.0M on Sanofi license extension milestones, and the Innovation score of 8 reflects the rare combination of AI-native drug discovery (5B+ DEL compound library), a pivotal-stage clinical pipeline, and validation from four major pharma partners (Gilead, Sanofi, Pfizer, Roche) [1][2]. The Cancer Grand Challenges pediatric cancer award further demonstrates scientific leadership beyond core commercial programs [3].</w:t>
      </w:r>
    </w:p>
    <w:p>
      <w:pPr>
        <w:spacing w:after="120"/>
      </w:pPr>
      <w:r>
        <w:rPr>
          <w:rFonts w:ascii="Calibri" w:hAnsi="Calibri"/>
          <w:b w:val="0"/>
          <w:color w:val="3A4A28"/>
          <w:sz w:val="20"/>
        </w:rPr>
        <w:t>The bear case centers on clinical risk and revenue volatility. Collaboration revenue fell sharply in the most recent quarters ($9.0M in Q2 FY2026 vs. $44.1M a year earlier; $6.3M in Q1 FY2026 vs. $18.5M) as the prior-year Sanofi milestone payments rolled off, and FY2025 R&amp;D spending of $316.9M dwarfs revenue, driving deeply negative ROE (-80.3%) and a mechanically calculated Infrastructure score of just 2 [1][5]. Bexobrutideg faces intense competition from established covalent BTK inhibitors and next-generation degraders from Arvinas and Kymera — clinical superiority in the pivotal trial is essential to justify the Roche partnership's economics. Persistent net insider selling by the Chief Legal Officer, with no offsetting insider buying over the trailing year, tempers confidence signals from within the company [4]. Any Phase 2 clinical failure or unexpected toxicity would eliminate the primary investment thesis for this pre-commercial biotech.</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Pivotal DAYBreak CLL-201 trial data readout for bexobrutideg establishing best-in-class BTK degrader efficacy and safety would validate the $2.3B Roche collaboration economics now that HSR clearance has closed the deal [2]</w:t>
      </w:r>
    </w:p>
    <w:p>
      <w:pPr>
        <w:spacing w:before="40" w:after="40"/>
        <w:ind w:left="283"/>
      </w:pPr>
      <w:r>
        <w:rPr>
          <w:rFonts w:ascii="Calibri" w:hAnsi="Calibri"/>
          <w:b/>
          <w:color w:val="4A6B25"/>
          <w:sz w:val="20"/>
        </w:rPr>
        <w:t xml:space="preserve">2. </w:t>
      </w:r>
      <w:r>
        <w:rPr>
          <w:rFonts w:ascii="Calibri" w:hAnsi="Calibri"/>
          <w:b w:val="0"/>
          <w:color w:val="3A4A28"/>
          <w:sz w:val="20"/>
        </w:rPr>
        <w:t>Ongoing Sanofi, Pfizer, and Gilead collaboration milestones ($7.0M, $5.0M, and $5.0M respectively achieved in FY2025) provide additional non-dilutive capital independent of the Roche partnership [1]</w:t>
      </w:r>
    </w:p>
    <w:p>
      <w:pPr>
        <w:spacing w:before="40" w:after="40"/>
        <w:ind w:left="283"/>
      </w:pPr>
      <w:r>
        <w:rPr>
          <w:rFonts w:ascii="Calibri" w:hAnsi="Calibri"/>
          <w:b/>
          <w:color w:val="4A6B25"/>
          <w:sz w:val="20"/>
        </w:rPr>
        <w:t xml:space="preserve">3. </w:t>
      </w:r>
      <w:r>
        <w:rPr>
          <w:rFonts w:ascii="Calibri" w:hAnsi="Calibri"/>
          <w:b w:val="0"/>
          <w:color w:val="3A4A28"/>
          <w:sz w:val="20"/>
        </w:rPr>
        <w:t>Cancer Grand Challenges award for pediatric cancers using targeted protein degradation expands platform application into high-unmet-need oncology indications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Bexobrutideg pivotal trial failure or unexpected adverse events would eliminate the primary investment thesis given the company's pre-commercial, cash-burning stage [1]</w:t>
      </w:r>
    </w:p>
    <w:p>
      <w:pPr>
        <w:spacing w:before="40" w:after="40"/>
        <w:ind w:left="283"/>
      </w:pPr>
      <w:r>
        <w:rPr>
          <w:rFonts w:ascii="Calibri" w:hAnsi="Calibri"/>
          <w:b/>
          <w:color w:val="4A6B25"/>
          <w:sz w:val="20"/>
        </w:rPr>
        <w:t xml:space="preserve">2. </w:t>
      </w:r>
      <w:r>
        <w:rPr>
          <w:rFonts w:ascii="Calibri" w:hAnsi="Calibri"/>
          <w:b w:val="0"/>
          <w:color w:val="3A4A28"/>
          <w:sz w:val="20"/>
        </w:rPr>
        <w:t>Collaboration revenue is highly lumpy and milestone-dependent — quarterly revenue fell 80% YoY in Q2 FY2026 as prior-year Sanofi milestones rolled off, making near-term financial metrics volatile and hard to forecast [1]</w:t>
      </w:r>
    </w:p>
    <w:p>
      <w:pPr>
        <w:spacing w:before="40" w:after="40"/>
        <w:ind w:left="283"/>
      </w:pPr>
      <w:r>
        <w:rPr>
          <w:rFonts w:ascii="Calibri" w:hAnsi="Calibri"/>
          <w:b/>
          <w:color w:val="4A6B25"/>
          <w:sz w:val="20"/>
        </w:rPr>
        <w:t xml:space="preserve">3. </w:t>
      </w:r>
      <w:r>
        <w:rPr>
          <w:rFonts w:ascii="Calibri" w:hAnsi="Calibri"/>
          <w:b w:val="0"/>
          <w:color w:val="3A4A28"/>
          <w:sz w:val="20"/>
        </w:rPr>
        <w:t>Competitive pressure from Arvinas, Kymera, and C4 Therapeutics in targeted protein degradation could compress bexobrutideg's peak revenue potential even with clinical success, while persistent net insider selling offers no internal conviction signal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Biotech drug development is structurally protected from AI disruption — FDA regulatory requirements mandate physical clinical trials, manufacturing involves complex biological processes, and the discovery-to-approval path spans 8-15 years with enormous capital requirements that AI cannot substitute for [2]. Nurix's specific moat — E3 ligase biology expertise, proprietary DEL compound libraries, and a pivotal-stage clinical asset now co-owned with Roche — represents accumulated know-how AI cannot replicate, though AI could accelerate rival degrader programs at Arvinas, Kymera, and C4 Therapeutics. AI Opportunity (1/1): The DEL-AI Discovery Engine is foundational to Nurix's business model, using ML models trained on 5B+ DEL compounds to predict protein binders, directly enabling the pipeline that secured licensing deals with Gilead, Sanofi, Pfizer, and now the $2.3B Roche collaboration [1][2].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36</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Business Ethics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Product Access and Affordability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Nurix Therapeutics FY2025 10-K, Q1/Q2 FY2026 10-Q and 8-K Financial Results — SEC filings, Nurix IR, 2025-2026</w:t>
      </w:r>
    </w:p>
    <w:p>
      <w:pPr>
        <w:spacing w:before="20" w:after="20"/>
        <w:ind w:left="170"/>
      </w:pPr>
      <w:r>
        <w:rPr>
          <w:rFonts w:ascii="Calibri" w:hAnsi="Calibri"/>
          <w:b/>
          <w:color w:val="4A6B25"/>
          <w:sz w:val="15"/>
        </w:rPr>
        <w:t xml:space="preserve">2. </w:t>
      </w:r>
      <w:r>
        <w:rPr>
          <w:rFonts w:ascii="Calibri" w:hAnsi="Calibri"/>
          <w:b w:val="0"/>
          <w:color w:val="3A4A28"/>
          <w:sz w:val="17"/>
        </w:rPr>
        <w:t>Roche-Nurix $2.3B Global Collaboration for Bexobrutideg (HSR clearance closed July 2026) — Nurix IR, PharmExec, OncoDaily, 2026</w:t>
      </w:r>
    </w:p>
    <w:p>
      <w:pPr>
        <w:spacing w:before="20" w:after="20"/>
        <w:ind w:left="170"/>
      </w:pPr>
      <w:r>
        <w:rPr>
          <w:rFonts w:ascii="Calibri" w:hAnsi="Calibri"/>
          <w:b/>
          <w:color w:val="4A6B25"/>
          <w:sz w:val="15"/>
        </w:rPr>
        <w:t xml:space="preserve">3. </w:t>
      </w:r>
      <w:r>
        <w:rPr>
          <w:rFonts w:ascii="Calibri" w:hAnsi="Calibri"/>
          <w:b w:val="0"/>
          <w:color w:val="3A4A28"/>
          <w:sz w:val="17"/>
        </w:rPr>
        <w:t>Nurix Cancer Grand Challenges Pediatric Cancer Award — Company press release, 2025-2026</w:t>
      </w:r>
    </w:p>
    <w:p>
      <w:pPr>
        <w:spacing w:before="20" w:after="20"/>
        <w:ind w:left="170"/>
      </w:pPr>
      <w:r>
        <w:rPr>
          <w:rFonts w:ascii="Calibri" w:hAnsi="Calibri"/>
          <w:b/>
          <w:color w:val="4A6B25"/>
          <w:sz w:val="15"/>
        </w:rPr>
        <w:t xml:space="preserve">4. </w:t>
      </w:r>
      <w:r>
        <w:rPr>
          <w:rFonts w:ascii="Calibri" w:hAnsi="Calibri"/>
          <w:b w:val="0"/>
          <w:color w:val="3A4A28"/>
          <w:sz w:val="17"/>
        </w:rPr>
        <w:t>Nurix Insider Trading Activity — CLO Christine Ring share sales, GuruFocus, StockTitan, Motley Fool, May-June 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yfinance — NRIX Key Statistics and Financial Data,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