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NRXS</w:t>
      </w:r>
      <w:r>
        <w:rPr>
          <w:rFonts w:ascii="Calibri" w:hAnsi="Calibri"/>
          <w:b/>
          <w:color w:val="1A2010"/>
          <w:sz w:val="40"/>
        </w:rPr>
        <w:t xml:space="preserve">  NeurAxis, Inc.</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ASE · United States</w:t>
      </w:r>
    </w:p>
    <w:p>
      <w:pPr>
        <w:spacing w:after="80"/>
      </w:pPr>
      <w:r>
        <w:rPr>
          <w:rFonts w:ascii="Calibri" w:hAnsi="Calibri"/>
          <w:b w:val="0"/>
          <w:color w:val="3A4A28"/>
          <w:sz w:val="20"/>
        </w:rPr>
        <w:t>NeurAxis is a medical technology company developing neuromodulation therapies for chronic gastrointestinal conditions in children and adults. Its flagship product, IB-Stim, is an FDA-cleared percutaneous electrical nerve field stimulation (PENFS) device for functional abdominal pain associated with irritable bowel syndrome in patients aged 8+. The company also offers the Rectal Expulsion Device (RED), a screening tool for evacuation disorders. NeurAxis reported Q2 2026 revenue of $1.9M (up 116% YoY) and TTM revenue of $5.3M, driven by the AMA Category I CPT code effective January 2026 that enabled insurance reimbursement. The company remains deeply unprofitable with a TTM net loss of $7.7M against $8.3M cash on hand and a going-concern warning.</w:t>
      </w:r>
    </w:p>
    <w:p>
      <w:r>
        <w:rPr>
          <w:rFonts w:ascii="Calibri" w:hAnsi="Calibri"/>
          <w:b/>
          <w:color w:val="6E8450"/>
          <w:sz w:val="18"/>
        </w:rPr>
        <w:t>24 Employees · https://neuraxis.com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NeurAxis secured the AMA Category I CPT code for PENFS effective January 2026, transforming its commercial model from self-pay/financial assistance to insurance-reimbursed procedures, driving average selling price up 33% to $1,017 and ordering accounts to 66 from 56 [1]. This regulatory milestone is significant but represents a single achievement rather than a transformative pivot. AI Deployment (0/2): No AI products or AI-powered capabilities in the company's device portfolio or operational processes. Market Share (1/2): IB-Stim is the only FDA-cleared PENFS device for pediatric functional abdominal pain associated with IBS, making NeurAxis the de facto category leader, though the addressable market remains nascent with only 66 active ordering accounts generating $5.3M TTM revenue [1][2]. Product Pipeline (0/2): The RED screening device received FDA clearance, and IB-Stim has potential for expanded indications, but no specific next-generation products have been announced with defined timelines or revenue visibility [5]. R&amp;D Intensity (0/1): No specific R&amp;D spending data disclosed relative to peers; the company's operating losses of $5.9M on $5.3M TTM revenue reflect early-stage commercialization costs rather than structured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NeurAxis's stated purpose centers on developing neuromodulation therapies to address chronic and debilitating conditions in children and adults, which clearly identifies the patient population and therapeutic approach but does not articulate a transformative vision beyond the obvious medical mission [5]. CEO Brian Carrico frames the company's aim as creating value for the NeurAxis team, patients, providers, and shareholders — standard stakeholder language that lacks distinctiveness. Community Impact (0/2): No evidence of charitable programs, community investment, or foundation activity beyond the company's core medical device business. Employee Retention (0/2): With only 24 employees and no Glassdoor reviews or public retention data available, there is insufficient evidence to score this dimension. Insider Buying (0/2): Recent insider transactions consist entirely of stock option exercises and stock award grants tied to compensation plans — CEO Brian Carrico exercised derivatives at $6.94/share in August 2026, and directors received stock awards, but no open-market purchases were identified in the last 12 months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due to the LIQUIDITY FLOOR: avg daily volume of 105,991 shares × $6.77 stock price = $717,556 daily dollar volume, below the $1,000,000 minimum required for IOWN tradability [3]. Underlying metrics are mixed: debt-to-equity of 4.1% reflects minimal leverage with only $279K total debt against $8.3M cash, but return on equity of -139.8% and profit margin of -144.4% reflect deep unprofitability — the company lost $7.8M on $3.6M FY2025 revenue [3]. Revenue growth of 115.7% YoY is exceptional but driven from a tiny base, and the company carries a going-concern warning with $8.3M cash burn runway of approximately 12-15 months at current operating loss rates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NeurAxis operates with a narrowly focused mission to commercialize neuromodulation therapy for pediatric GI disorders, demonstrating persistence through years of losses and regulatory milestones but lacking the breadth of purpose, organizational depth, and strategic flexibility that characterize infinite game players. The company's 24-person team and single-product focus make it difficult to evaluate trust, culture, or competitive philosophy, and the existential question is less about playing an infinite game and more about surviving to profitability before cash runs out.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NeurAxis treats children suffering from chronic abdominal pain — an inherently purposeful endeavor — but the company's articulated mission does not rise above standard medical device company language. CEO Brian Carrico describes the aim as creating value for team, patients, providers, and shareholders, which is indistinguishable from any healthcare company's stakeholder framework [4][5]. The cause has not been tested through crisis or validated by decades of execution; the company is 15 years old, went public recently, and has yet to achieve profitability.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24 employees, NeurAxis is too small for meaningful organizational culture assessment. No Glassdoor reviews exist for the company, no voluntary turnover or employee tenure data is publicly available, and the board's average tenure of 1.8 years suggests recent turnover at the governance level [4]. The leadership team appears stable — Carrico since 2018, Miranda as SVP Science — but there is insufficient evidence to evaluate trust, psychological safety, or employee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commentary from NeurAxis management about competitors, competitive dynamics, or how rival approaches inform their strategy. The company operates in a niche with minimal direct competition for FDA-cleared PENFS devices, but the absence of competitive awareness — even in SEC filings' competitive landscape discussions — suggests neither an infinite nor a finite competitive mindset, simply a lack of relevant competitive pressure to evaluate.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NeurAxis evolved its commercial model from direct-pay/financial assistance to insurance-reimbursed procedures through the CPT code achievement, and rebranded from Innovative Health Solutions to NeurAxis in 2022 to signal a broader neuromodulation platform ambition [1][5]. The business model shift from self-pay to insurance is a meaningful adaptation that changed unit economics (ASP up 33%), but it is incremental — the company sells the same device to the same customers through a new payment mechanism, not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Brian Carrico has led NeurAxis since 2018 through a pre-revenue phase, IPO, and the multi-year effort to secure the AMA Category I CPT code, demonstrating willingness to sustain losses in pursuit of the reimbursement infrastructure needed for commercial scale [1][5]. The company persisted through years of $7-14M annual losses while investing in clinical evidence and regulatory submissions. However, this persistence is standard startup behavior rather than a deliberate sacrifice of profitable alternatives, and no examples of choosing long-term capability over near-term earnings exist when the company has never had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NeurAxis at $6.77 with an $85M market cap is a micro-cap medical device company experiencing explosive revenue growth — Q2 2026 revenue surged 116% YoY to $1.9M and Q1 2026 rose 80% to $1.6M, driven by the AMA Category I CPT code for PENFS that took effect January 2026 and enabled insurance reimbursement [1][2]. The IB-Stim device is the only FDA-cleared PENFS system for pediatric functional abdominal pain associated with IBS, giving NeurAxis a first-mover regulatory advantage in a growing neuromodulation market. Average selling price rose 33% to $1,017 as the revenue mix shifted from discounted financial assistance to fully reimbursed procedures, and ordering accounts expanded to 66 from 56, with gross margins of 86% demonstrating strong unit economics once scaled [1].</w:t>
      </w:r>
    </w:p>
    <w:p>
      <w:pPr>
        <w:spacing w:after="120"/>
      </w:pPr>
      <w:r>
        <w:rPr>
          <w:rFonts w:ascii="Calibri" w:hAnsi="Calibri"/>
          <w:b w:val="0"/>
          <w:color w:val="3A4A28"/>
          <w:sz w:val="20"/>
        </w:rPr>
        <w:t>The bear case is substantial: NeurAxis lost $7.8M in FY2025 on only $3.6M revenue (-144% profit margin) and carries a going-concern warning in its SEC filings, with $8.3M cash providing approximately 12-15 months of runway at current burn rates without additional equity financing [3]. The stock is severely illiquid at $718K daily dollar volume, making position sizing and exit nearly impossible for institutional investors. Revenue remains trivially small ($5.3M TTM) with only 66 ordering accounts nationwide, and the path to profitability requires scaling from dozens to hundreds of accounts while maintaining 86% gross margins — a commercialization challenge that many single-product medical device companies fail to achieve. Insider transactions are entirely compensation-related with no open-market buying, and the company's $85M market cap implies the market prices in significant growth that has not yet been validated by sustained profitability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AMA Category I CPT code driving insurance reimbursement adoption — only 66 of an estimated thousands of pediatric GI practices have adopted IB-Stim, suggesting early-innings penetration with significant runway for ordering account expansion as reimbursement removes the payment barrier [1]</w:t>
      </w:r>
    </w:p>
    <w:p>
      <w:pPr>
        <w:spacing w:before="40" w:after="40"/>
        <w:ind w:left="283"/>
      </w:pPr>
      <w:r>
        <w:rPr>
          <w:rFonts w:ascii="Calibri" w:hAnsi="Calibri"/>
          <w:b/>
          <w:color w:val="4A6B25"/>
          <w:sz w:val="20"/>
        </w:rPr>
        <w:t xml:space="preserve">2. </w:t>
      </w:r>
      <w:r>
        <w:rPr>
          <w:rFonts w:ascii="Calibri" w:hAnsi="Calibri"/>
          <w:b w:val="0"/>
          <w:color w:val="3A4A28"/>
          <w:sz w:val="20"/>
        </w:rPr>
        <w:t>Potential IB-Stim label expansions for additional functional GI disorders beyond IBS, including functional dyspepsia and chronic nausea, which would expand the addressable patient population within existing ordering accounts [5]</w:t>
      </w:r>
    </w:p>
    <w:p>
      <w:pPr>
        <w:spacing w:before="40" w:after="40"/>
        <w:ind w:left="283"/>
      </w:pPr>
      <w:r>
        <w:rPr>
          <w:rFonts w:ascii="Calibri" w:hAnsi="Calibri"/>
          <w:b/>
          <w:color w:val="4A6B25"/>
          <w:sz w:val="20"/>
        </w:rPr>
        <w:t xml:space="preserve">3. </w:t>
      </w:r>
      <w:r>
        <w:rPr>
          <w:rFonts w:ascii="Calibri" w:hAnsi="Calibri"/>
          <w:b w:val="0"/>
          <w:color w:val="3A4A28"/>
          <w:sz w:val="20"/>
        </w:rPr>
        <w:t>Cash flow breakeven target by late 2026 — if achieved, would eliminate the going-concern warning and potentially trigger institutional interest in a company with 86% gross margins and 100%+ revenue growth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warning with $8.3M cash and ~$6M annual burn rate implies need for dilutive equity financing within 12-15 months — any capital raise at current market cap would significantly dilute the 12.6M shares outstanding [3]</w:t>
      </w:r>
    </w:p>
    <w:p>
      <w:pPr>
        <w:spacing w:before="40" w:after="40"/>
        <w:ind w:left="283"/>
      </w:pPr>
      <w:r>
        <w:rPr>
          <w:rFonts w:ascii="Calibri" w:hAnsi="Calibri"/>
          <w:b/>
          <w:color w:val="4A6B25"/>
          <w:sz w:val="20"/>
        </w:rPr>
        <w:t xml:space="preserve">2. </w:t>
      </w:r>
      <w:r>
        <w:rPr>
          <w:rFonts w:ascii="Calibri" w:hAnsi="Calibri"/>
          <w:b w:val="0"/>
          <w:color w:val="3A4A28"/>
          <w:sz w:val="20"/>
        </w:rPr>
        <w:t>Severe illiquidity at $718K daily dollar volume makes the stock untradeable for meaningful position sizes and creates elevated volatility risk — a single institutional seller could move the price dramatically [3]</w:t>
      </w:r>
    </w:p>
    <w:p>
      <w:pPr>
        <w:spacing w:before="40" w:after="40"/>
        <w:ind w:left="283"/>
      </w:pPr>
      <w:r>
        <w:rPr>
          <w:rFonts w:ascii="Calibri" w:hAnsi="Calibri"/>
          <w:b/>
          <w:color w:val="4A6B25"/>
          <w:sz w:val="20"/>
        </w:rPr>
        <w:t xml:space="preserve">3. </w:t>
      </w:r>
      <w:r>
        <w:rPr>
          <w:rFonts w:ascii="Calibri" w:hAnsi="Calibri"/>
          <w:b w:val="0"/>
          <w:color w:val="3A4A28"/>
          <w:sz w:val="20"/>
        </w:rPr>
        <w:t>Single-product concentration risk — the entire company depends on IB-Stim adoption, and competitive entry of alternative neuromodulation devices, negative clinical outcomes, or CPT code reclassification could undermine the growth trajectory with no revenue diversification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NeurAxis's core product is a physical neuromodulation device (IB-Stim) that delivers percutaneous electrical nerve field stimulation through electrodes placed behind the ear — AI structurally cannot replicate the physiological mechanism of electrical nerve stimulation, and the business is protected by FDA clearance requirements, clinical trial evidence, and CPT code reimbursement infrastructure [1][5]. The medical device regulatory pathway creates multi-year barriers to entry that software-based AI solutions cannot circumvent. AI could theoretically enhance patient identification or diagnostic workflows for functional abdominal pain, but the therapeutic intervention itself is immune to AI substitution. No analyst coverage has flagged AI disruption risk for PENFS devices. AI Opportunity (0/1): NeurAxis generates no revenue from AI-related products or services; the company's technology platform is entirely based on electrical stimulation hardware and has no AI component in its product portfolio or pipeline.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NeurAxis Q1 2026 Earnings Release — Record Revenue $1.6M (+80% YoY), ASP $1,017 (+33%), 66 Ordering Accounts, Gross Margin 86.4% — GlobeNewsWire, May 2026</w:t>
      </w:r>
    </w:p>
    <w:p>
      <w:pPr>
        <w:spacing w:before="20" w:after="20"/>
        <w:ind w:left="170"/>
      </w:pPr>
      <w:r>
        <w:rPr>
          <w:rFonts w:ascii="Calibri" w:hAnsi="Calibri"/>
          <w:b/>
          <w:color w:val="4A6B25"/>
          <w:sz w:val="15"/>
        </w:rPr>
        <w:t xml:space="preserve">2. </w:t>
      </w:r>
      <w:r>
        <w:rPr>
          <w:rFonts w:ascii="Calibri" w:hAnsi="Calibri"/>
          <w:b w:val="0"/>
          <w:color w:val="3A4A28"/>
          <w:sz w:val="17"/>
        </w:rPr>
        <w:t>NeurAxis Q2 2026 Earnings Release — Record Revenue $1.9M (+116% YoY) — Nasdaq Press Release, August 2026</w:t>
      </w:r>
    </w:p>
    <w:p>
      <w:pPr>
        <w:spacing w:before="20" w:after="20"/>
        <w:ind w:left="170"/>
      </w:pPr>
      <w:r>
        <w:rPr>
          <w:rFonts w:ascii="Calibri" w:hAnsi="Calibri"/>
          <w:b/>
          <w:color w:val="4A6B25"/>
          <w:sz w:val="15"/>
        </w:rPr>
        <w:t xml:space="preserve">3. </w:t>
      </w:r>
      <w:r>
        <w:rPr>
          <w:rFonts w:ascii="Calibri" w:hAnsi="Calibri"/>
          <w:b w:val="0"/>
          <w:color w:val="3A4A28"/>
          <w:sz w:val="17"/>
        </w:rPr>
        <w:t>NeurAxis SEC Form 10-Q FY2026 — Going-Concern Warning, $8.3M Cash, $7.8M FY2025 Net Loss, Financial Statements — SEC EDGAR, 2026</w:t>
      </w:r>
    </w:p>
    <w:p>
      <w:pPr>
        <w:spacing w:before="20" w:after="20"/>
        <w:ind w:left="170"/>
      </w:pPr>
      <w:r>
        <w:rPr>
          <w:rFonts w:ascii="Calibri" w:hAnsi="Calibri"/>
          <w:b/>
          <w:color w:val="4A6B25"/>
          <w:sz w:val="15"/>
        </w:rPr>
        <w:t xml:space="preserve">4. </w:t>
      </w:r>
      <w:r>
        <w:rPr>
          <w:rFonts w:ascii="Calibri" w:hAnsi="Calibri"/>
          <w:b w:val="0"/>
          <w:color w:val="3A4A28"/>
          <w:sz w:val="17"/>
        </w:rPr>
        <w:t>NeurAxis Leadership and Insider Transactions — CEO Brian Carrico Since 2018, Compensation-Based Transactions, Board Tenure 1.8yr — Simply Wall St, LinkedIn, Bloomberg, 2026</w:t>
      </w:r>
    </w:p>
    <w:p>
      <w:pPr>
        <w:spacing w:before="20" w:after="20"/>
        <w:ind w:left="170"/>
      </w:pPr>
      <w:r>
        <w:rPr>
          <w:rFonts w:ascii="Calibri" w:hAnsi="Calibri"/>
          <w:b/>
          <w:color w:val="4A6B25"/>
          <w:sz w:val="15"/>
        </w:rPr>
        <w:t xml:space="preserve">5. </w:t>
      </w:r>
      <w:r>
        <w:rPr>
          <w:rFonts w:ascii="Calibri" w:hAnsi="Calibri"/>
          <w:b w:val="0"/>
          <w:color w:val="3A4A28"/>
          <w:sz w:val="17"/>
        </w:rPr>
        <w:t>NeurAxis CEO Shareholder Letter — 2024 Achievements, FDA Clearances (IB-Stim, RED), Category I CPT Code Strategy, Cash Flow Breakeven Target — Nasdaq, January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