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NSC</w:t>
      </w:r>
      <w:r>
        <w:rPr>
          <w:rFonts w:ascii="Calibri" w:hAnsi="Calibri"/>
          <w:b/>
          <w:color w:val="1A2010"/>
          <w:sz w:val="40"/>
        </w:rPr>
        <w:t xml:space="preserve">  Norfolk Southern Corporation</w:t>
      </w:r>
    </w:p>
    <w:p>
      <w:pPr>
        <w:spacing w:after="120"/>
      </w:pPr>
      <w:r>
        <w:rPr>
          <w:rFonts w:ascii="Calibri" w:hAnsi="Calibri"/>
          <w:b/>
          <w:color w:val="6E8450"/>
          <w:sz w:val="18"/>
        </w:rPr>
        <w:t>GROWTH SLEEVE · 2026-09-26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Railroads · NYSE · United States</w:t>
      </w:r>
    </w:p>
    <w:p>
      <w:pPr>
        <w:spacing w:after="80"/>
      </w:pPr>
      <w:r>
        <w:rPr>
          <w:rFonts w:ascii="Calibri" w:hAnsi="Calibri"/>
          <w:b w:val="0"/>
          <w:color w:val="3A4A28"/>
          <w:sz w:val="20"/>
        </w:rPr>
        <w:t>Norfolk Southern Corporation operates one of North America's premier Class I railroads, with approximately 19,500 route miles spanning 22 eastern U.S. states and the District of Columbia. The company serves diverse markets including intermodal, chemicals, coal, agriculture, and automotive. Q2 2026 revenue reached an all-time quarterly record of $3.5 billion, up 11% year-over-year on 4% volume growth and higher fuel surcharges, though margins compressed as adjusted operating ratio rose 210bps YoY to 65.5% on fuel and inflationary headwinds, prompting management to raise full-year 2026 adjusted operating expense guidance to $8.8-$8.9B. Under CEO Mark George (appointed September 2024), the company continues executing a strategy of operational discipline and infrastructure investment following the February 2023 East Palestine, Ohio derailment, which resulted in a $600 million resident settlement, a separate $22 million village settlement (January 2025), and ongoing DOJ litigation.</w:t>
      </w:r>
    </w:p>
    <w:p>
      <w:r>
        <w:rPr>
          <w:rFonts w:ascii="Calibri" w:hAnsi="Calibri"/>
          <w:b/>
          <w:color w:val="6E8450"/>
          <w:sz w:val="18"/>
        </w:rPr>
        <w:t>19,300 Employees · https://www.norfolksouthern.com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Norfolk Southern has invested over $1 billion in system-wide infrastructure upgrades since the East Palestine derailment, improving safety, capacity, and service reliability, but these are incremental improvements to existing rail operations rather than a business model transformation [1]. The business looks fundamentally the same as five years ago — a Class I railroad moving freight on fixed routes. AI Deployment (1/2): NSC has deployed AI-powered train inspection portals and an Automated Track Geometry Measurement System (ATGMS) using sensors and lasers mounted on locomotives to detect track defects in real time, driving operational efficiency [2]. These are internal efficiency gains, not AI products sold to customers. Market Share (1/2): NSC is one of only seven Class I railroads in North America with a dominant eastern U.S. network, but shares eastern rail leadership with CSX in a stable, non-expanding position [1]. Product Pipeline (0/2): No next-generation products or services with specific timelines beyond general capacity expansion; rail freight remains an inherently commoditized service. R&amp;D Intensity (0/1): Railroads are not R&amp;D-intensive industries, and NSC's technology/infrastructure spend is not above industry average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Norfolk Southern's stated vision — 'building a railroad that is more disciplined, more resilient, and better positioned for growth' — is operational language about self-improvement rather than a broader purpose, generic and interchangeable with any industrial turnaround narrative [2]. Community Impact (0/2): The East Palestine derailment directly undercuts community impact — federal investigators found Norfolk Southern withheld information during the emergency response, and the DOJ alleges Clean Water Act violations from pollutant discharge into local waterways; the $600M resident settlement and $22M village settlement (January 2025) compensate for harm rather than reflecting proactive investment [3]. Employee Retention (0/2): Norfolk Southern's overall Glassdoor rating is a weak 2.9/5 across 2,162+ reviews, with 2.1/5 for work-life balance and 2.4/5 for culture and values; reviews describe leadership operating 'with a sense of entitlement and apathy' and promotions tied to 'internal politics, favoritism, and personal connections' [2]. DOJ investigators separately found executive compensation was approximately 80% tied to revenue and expense metrics, consistent with a culture that deprioritized safety. Insider Buying (0/2): No evidence of meaningful net insider buying by CEO Mark George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(dividend yield of 1.73% falls below the 2% Dividend-sleeve threshold, despite a long payment history). ROE of 16.99% exceeds the 15% target (score 1.0, 2x weight) and profit margin of 21.02% clears the 20% target (score 1.0). Revenue growth YoY of 11.4% exceeds the 10% target (score 1.0), driven by the Q2 2026 record quarter, while the estimated 5-year revenue CAGR of ~3% remains well below target (score 0.53, 2x weight). Forward P/E of 21.87 is modestly above the 20 target (score 0.95), and the trailing PEG of 3.72 is well above the 3.0 floor, scoring 0.0 at 2x weight — the single largest drag on the composite. D/E of 105.5% is elevated versus the 70% target (score 0.85). Weighted sum of 6.86 across 10 weight units yields an Infrastructure score of 7. Liquidity is ample: average daily volume of ~1.15M shares at $313 equals ~$358M in daily dollar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Norfolk Southern's 190+ year operating history and essential infrastructure role might suggest an infinite game player, but the East Palestine disaster exposed a deeply finite culture — one the DOJ found routinely dismissed safety concerns and underfunded maintenance in pursuit of quarterly financial metrics. A weak 2.9/5 overall Glassdoor rating, with especially poor scores for work-life balance (2.1) and culture and values (2.4), corroborates a low-trust environment nearly three years after the derailment. New CEO Mark George is pursuing operational discipline, but evidence of lasting cultural transformation remains thin.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Norfolk Southern has operated for 190+ years as essential economic infrastructure, referencing its role in 'moving the US economy' [2]. This is a genuine societal contribution, but the East Palestine disaster revealed that the operating culture actually prioritized quarterly earnings and operating ratio over safe, responsible freight transportation — the DOJ found 'a company culture where safety concerns were routinely dismissed or underfunded in pursuit of maximizing shareholder value' [3]. A Just Cause that isn't lived out is marketing, not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federal East Palestine investigation found systemic cultural failures — safety concerns routinely dismissed, maintenance underfunded, and executive compensation ~80% tied to revenue and expense metrics rather than safety outcomes — and Norfolk Southern withheld information during the emergency response [3]. This is corroborated by a weak overall Glassdoor rating of 2.9/5, with reviews describing leadership entitlement and promotions driven by politics and favoritism rather than merit [2]. This is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Norfolk Southern competes with CSX (eastern U.S. rail rival), Union Pacific and BNSF (western rail), and trucking for freight share, and frames competition constructively — investing in intermodal service improvements and technology adoption to compete on cost and reliability rather than attempting to destroy rivals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Norfolk Southern has operated the same basic business model for 190+ years — moving freight on fixed rail routes. The post-East Palestine strategic reset is forced restructuring under legal and regulatory pressure, not a Just Cause-driven transformation, and no evidence of strategic pivots or business model innovation exists.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Pre-East Palestine leadership explicitly optimized for quarterly earnings and operating ratio at the expense of safety, with executive compensation ~80% tied to financial metrics per DOJ findings [3]. The post-disaster $1B+ infrastructure investment was compelled by federal litigation and $600M+ in settlement costs, not proactive strategic choice. Raising 2026 opex guidance by $400-500M to absorb fuel headwinds reflects competent cost management, not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Norfolk Southern delivered an all-time quarterly revenue record of $3.5B in Q2 2026 (+11% YoY), driven by 4% freight volume growth and higher fuel surcharges, reaffirming the strength of its irreplaceable eastern U.S. rail franchise [1]. As one of only seven Class I railroads in North America, NSC benefits from natural-monopoly economics and structural immunity to AI disruption (AI Resilience score of 9) — physical infrastructure that cannot be substituted by software, with AI-powered inspection systems like ATGMS adding incremental safety and efficiency gains [2]. ROE of 16.99% and profit margin of 21.02% both clear Infrastructure targets, and ongoing operational discipline under CEO Mark George provides a credible, if unspectacular, earnings base.</w:t>
      </w:r>
    </w:p>
    <w:p>
      <w:pPr>
        <w:spacing w:after="120"/>
      </w:pPr>
      <w:r>
        <w:rPr>
          <w:rFonts w:ascii="Calibri" w:hAnsi="Calibri"/>
          <w:b w:val="0"/>
          <w:color w:val="3A4A28"/>
          <w:sz w:val="20"/>
        </w:rPr>
        <w:t>The bear case centers on the East Palestine governance legacy and margin pressure. Adjusted operating ratio rose 210bps YoY to 65.5% in Q2 2026 on fuel and inflationary headwinds, prompting management to raise full-year adjusted opex guidance by $400-500M — a reminder that record top-line growth has not translated into consistent margin expansion [1]. The DOJ's ongoing prosecution alleges Clean Water Act violations, and a weak overall Glassdoor rating of 2.9/5 with particularly poor culture (2.4/5) and work-life balance (2.1/5) scores suggests the cultural failures identified after East Palestine have not meaningfully improved [2][3]. A PEG ratio of 3.72 alongside an anemic ~3% estimated 5-year revenue CAGR signals the stock is priced expensively relative to its underlying growth profile, leaving little margin of safety if freight volumes or fuel costs move against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operational discipline and cost management could offset fuel and inflationary headwinds and drive the adjusted operating ratio back toward the low 60s, expanding margins from the current 65.5% level [1]</w:t>
      </w:r>
    </w:p>
    <w:p>
      <w:pPr>
        <w:spacing w:before="40" w:after="40"/>
        <w:ind w:left="283"/>
      </w:pPr>
      <w:r>
        <w:rPr>
          <w:rFonts w:ascii="Calibri" w:hAnsi="Calibri"/>
          <w:b/>
          <w:color w:val="4A6B25"/>
          <w:sz w:val="20"/>
        </w:rPr>
        <w:t xml:space="preserve">2. </w:t>
      </w:r>
      <w:r>
        <w:rPr>
          <w:rFonts w:ascii="Calibri" w:hAnsi="Calibri"/>
          <w:b w:val="0"/>
          <w:color w:val="3A4A28"/>
          <w:sz w:val="20"/>
        </w:rPr>
        <w:t>Domestic intermodal volume growth from highway-to-rail conversion, supported by favorable fuel economics and industrial development projects across the eastern U.S. network</w:t>
      </w:r>
    </w:p>
    <w:p>
      <w:pPr>
        <w:spacing w:before="40" w:after="40"/>
        <w:ind w:left="283"/>
      </w:pPr>
      <w:r>
        <w:rPr>
          <w:rFonts w:ascii="Calibri" w:hAnsi="Calibri"/>
          <w:b/>
          <w:color w:val="4A6B25"/>
          <w:sz w:val="20"/>
        </w:rPr>
        <w:t xml:space="preserve">3. </w:t>
      </w:r>
      <w:r>
        <w:rPr>
          <w:rFonts w:ascii="Calibri" w:hAnsi="Calibri"/>
          <w:b w:val="0"/>
          <w:color w:val="3A4A28"/>
          <w:sz w:val="20"/>
        </w:rPr>
        <w:t>Resolution of DOJ litigation and continued East Palestine remediation could remove the stock's governance discount and improve institutional investor sentiment over time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DOJ prosecution alleging Clean Water Act violations related to the East Palestine derailment carries continued litigation, reputational, and potential financial exposure beyond the $600M resident and $22M village settlements already paid [3]</w:t>
      </w:r>
    </w:p>
    <w:p>
      <w:pPr>
        <w:spacing w:before="40" w:after="40"/>
        <w:ind w:left="283"/>
      </w:pPr>
      <w:r>
        <w:rPr>
          <w:rFonts w:ascii="Calibri" w:hAnsi="Calibri"/>
          <w:b/>
          <w:color w:val="4A6B25"/>
          <w:sz w:val="20"/>
        </w:rPr>
        <w:t xml:space="preserve">2. </w:t>
      </w:r>
      <w:r>
        <w:rPr>
          <w:rFonts w:ascii="Calibri" w:hAnsi="Calibri"/>
          <w:b w:val="0"/>
          <w:color w:val="3A4A28"/>
          <w:sz w:val="20"/>
        </w:rPr>
        <w:t>Margin pressure from fuel costs and inflation drove a 210bps YoY increase in adjusted operating ratio in Q2 2026, and management raised full-year adjusted opex guidance by $400-500M, indicating cost headwinds are structural rather than transitory [1]</w:t>
      </w:r>
    </w:p>
    <w:p>
      <w:pPr>
        <w:spacing w:before="40" w:after="40"/>
        <w:ind w:left="283"/>
      </w:pPr>
      <w:r>
        <w:rPr>
          <w:rFonts w:ascii="Calibri" w:hAnsi="Calibri"/>
          <w:b/>
          <w:color w:val="4A6B25"/>
          <w:sz w:val="20"/>
        </w:rPr>
        <w:t xml:space="preserve">3. </w:t>
      </w:r>
      <w:r>
        <w:rPr>
          <w:rFonts w:ascii="Calibri" w:hAnsi="Calibri"/>
          <w:b w:val="0"/>
          <w:color w:val="3A4A28"/>
          <w:sz w:val="20"/>
        </w:rPr>
        <w:t>Elevated PEG ratio of 3.72 combined with an anemic ~3% estimated 5-year revenue CAGR leaves limited margin of safety if freight volumes soften or fuel costs remain elevated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Railroad freight transportation is structurally immune to AI disruption — the physical infrastructure of ~19,500 route miles of track, railyards, locomotives, and rolling stock cannot be replicated or substituted by software [1]. Class I railroads operate as natural monopolies with massive barriers to entry ($30B+ replacement cost) and an essential economic function; AI actually increases demand for rail freight as data centers and AI chip manufacturing require more electricity, raw materials, and physical goods movement. Analysts see zero substitution risk for rail freight from AI, and the modest long-term threat of AI-enabled autonomous trucking to intermodal share remains distant. AI Opportunity (1/1): NSC generates measurable operational value from AI deployment — AI-powered train inspection portals and the ATGMS system use ML-powered sensors on locomotives for real-time track defect detection, and predictive analytics optimize network fluidity and maintenance scheduling, producing quantifiable safety and cost improvements even though not sold externally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Norfolk Southern Q2 2026 Earnings Release and Call Transcript — Record $3.5B Revenue, Raised Opex Guidance, Investing.com/PRNewswire,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Norfolk Southern AI Innovation (ATGMS, Train Inspection Portals) and Glassdoor Culture Reviews (2.9/5 overall), Company Sources and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DOJ Lawsuit and East Palestine Derailment Settlements — $600M Resident Settlement, $22M Village Settlement (Jan 2025), Environmental Violations, WOSU, CNN, FreightWaves,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NSC Key Statistics, PEG Ratio,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