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NSLR</w:t>
      </w:r>
      <w:r>
        <w:rPr>
          <w:rFonts w:ascii="Calibri" w:hAnsi="Calibri"/>
          <w:b/>
          <w:color w:val="1A2010"/>
          <w:sz w:val="40"/>
        </w:rPr>
        <w:t xml:space="preserve">  Neostellar Capital Corp.</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Asset Management · NASDAQ · United States</w:t>
      </w:r>
    </w:p>
    <w:p>
      <w:pPr>
        <w:spacing w:after="80"/>
      </w:pPr>
      <w:r>
        <w:rPr>
          <w:rFonts w:ascii="Calibri" w:hAnsi="Calibri"/>
          <w:b w:val="0"/>
          <w:color w:val="3A4A28"/>
          <w:sz w:val="20"/>
        </w:rPr>
        <w:t>Neostellar Capital Corp. (formerly SuRo Capital Corp., ticker SSSS) is a publicly traded venture capital fund that provides public market investors access to high-growth, venture-backed private companies. The company transitioned to external management on July 15, 2026 through Neostellar Advisors LLC, jointly owned by the former management team and Magnetar Holdings (~$18B AUM). The portfolio of 36 companies ($388.5M fair value at Q1 2026) is concentrated in WHOOP (38.8%), ARK Type One/OpenAI (15.3%), VAST Data (8.5%), TensorWave, and Blink Health. NAV per share was $13.44 at Q2 2026 end, compared to the stock price of $10.10 (0.75x book). The fund pays a $1.00 annual dividend (9.90% yield). Market cap approximately $267M.</w:t>
      </w:r>
    </w:p>
    <w:p>
      <w:r>
        <w:rPr>
          <w:rFonts w:ascii="Calibri" w:hAnsi="Calibri"/>
          <w:b/>
          <w:color w:val="6E8450"/>
          <w:sz w:val="18"/>
        </w:rPr>
        <w:t>9 Employees · https://neostellar.vc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most significant innovation was the 2026 strategic transformation from internally managed SuRo Capital to externally managed Neostellar Capital in partnership with Magnetar Holdings, securing access to Magnetar's $18B AUM platform, institutional deal flow, and venture expertise — a creative solution for a fund that had traded at persistent NAV discounts [4]. The rebranding (GSV Capital to SuRo Capital to Neostellar) and structural shift required stockholder approval and $20M in one-time externalization costs, representing a meaningful strategic pivot [2]. However, this is fundamentally corporate restructuring, not product innovation. AI Deployment (0/2): With only 9 employees operating as an investment vehicle, Neostellar has no AI-powered products or quantifiable AI-driven operational savings. The fund invests in AI companies (OpenAI, CoreWeave, TensorWave) but does not deploy AI in its own operations [1]. Market Share (0/2): Neostellar occupies a niche as one of few publicly traded vehicles offering direct access to late-stage venture-backed private companies, but at $267M market cap it is a micro-cap participant in the $1T+ alternative asset management industry with no evidence of category leadership or share gains. Product Pipeline (1/2): The portfolio includes several potential near-term catalysts — WHOOP management indicated a potential IPO 'sometime next year' if conditions remain favorable, TensorWave closed a $350M Series B co-led by Magnetar and AMD Ventures, and the Magnetar partnership opens new deal flow channels [2][4]. However, pipeline visibility for a venture fund is inherently limited. R&amp;D Intensity (0/1): Not applicable to an investment fund with 9 employees and no research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Neostellar's stated purpose — providing public market investors access to 'the world's most innovative and consequential privately held companies' during the period of 'significant value creation' before IPOs — identifies a real market gap (private companies staying private longer) but is fundamentally a financial intermediation mission interchangeable with any venture-access vehicle [4]. The purpose does not articulate a vision of a better future beyond investment returns, and the serial rebranding (GSV → SuRo → Neostellar) suggests the identity follows corporate structure rather than a guiding cause. Community Impact (0/2): No evidence of charitable programs, foundation activity, or community investment was found. The company operates with 9 employees and no public-facing social impact initiatives. Employee Retention (0/2): With only 9 employees and a recent transition to external management through Neostellar Advisors, meaningful employee retention data is not available. The externalization itself involved the management team creating their own advisory firm, which is an unusual structural shift rather than a retention signal. Insider Buying (0/2): Magnetar invested $20M in Neostellar post-quarter as part of the externalization partnership, which signals institutional alignment but is not personal insider buying by executives [4]. No evidence of open-market share purchases by CEO Mark Klein or other officers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significant caveats due to BDC/investment fund accounting. D/E of 18% ($62.5M debt comprising 6.00% Notes due 2026 and 6.50% Convertible Notes due 2029, against $355.9M net assets) scores perfectly against the 70% target [3]. ROE of 43.19% scores maximum, but this is driven almost entirely by unrealized appreciation on portfolio investments ($158.7M in Q1 alone) and is highly volatile — NAV dropped from $14.24 to $13.44 per share in Q2 due to $20M externalization costs and $0.02/share unrealized depreciation [1][2]. Revenue growth YoY of -26.3% scores 0, though for a BDC 'revenue' captures only fee/interest income ($2.05M TTM) and does not reflect actual investment performance. Forward P/E, profit margin, revenue 5yr CAGR, and forward PEG are either unavailable or distorted beyond comparability for a venture-focused BDC (reported profit margin of 6,055% reflects unrealized gains counted as net income against minimal fee revenue). Infrastructure score is inflated by BDC accounting conventions — only 3 of 7 growth metrics are meaningfully available, and the operating business generates net investment losses (-$4.0M in Q1, -$0.16/share) [1]. Liquidity floor cleared at ~$2.1M daily value traded (203,984 avg volume x $10.10).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Neostellar Capital operates with a distinctly finite-game orientation. The company's serial rebrandings (GSV Capital to SuRo Capital to Neostellar Capital), the externalization to a management-team-owned advisory firm, and the focus on NAV appreciation and dividend distributions reflect optimization for financial returns rather than pursuit of an enduring cause. The Magnetar partnership is strategically sound but was motivated by access to deal flow and institutional capabilities, not by a vision of a better future. With only 9 employees and an externally managed structure, the organizational depth required for Sinek's infinite-game characteristics (trusting teams, courageous leadership tested through crisis) simply does not exist.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Neostellar's purpose — 'expanding access to the world's most innovative and consequential privately held companies' — identifies a genuine market gap but is fundamentally a financial intermediation mission [4]. The company exists to generate investment returns, not to advance a vision of a better future. The serial identity changes (GSV Capital → SuRo Capital → Neostellar Capital in just 15 years) suggest the cause follows the corporate structure rather than guiding it. Leadership references 'access' and 'opportunity' in investor communications, but these are marketing frames for a financial product, not a Just Cause that inspires sacrifice or endures beyond any single product or leader.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9 employees and a July 2026 transition to external management, there is insufficient organizational depth to evaluate trust or psychological safety. The externalization itself — where the management team created Neostellar Advisors LLC as their own fee-earning advisory firm while remaining in control of the fund — raises questions about alignment. The $20M one-time externalization cost was absorbed by shareholders [2][4]. No Glassdoor reviews or employee sentiment data specific to SuRo/Neostellar Capital was found, and the micro-scale of the organization (9 people) makes Sinek's Circle of Safety framework largely inapplicable.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Neostellar positions itself as unique — 'one of the oldest publicly traded venture capital funds' with 15 years of history — rather than acknowledging competitors' strengths or using competitive pressure for self-improvement [4]. Investor communications emphasize the fund's differentiated access and Magnetar partnership rather than learning from rival venture vehicles (Horizon Technology Finance, Hercules Capital, or other publicly traded venture/growth BDCs). The competitive framing is about market positioning, not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Neostellar has demonstrated meaningful structural adaptation over its 15-year history — evolving from GSV Capital (education-tech focused) to SuRo Capital (broader venture) to Neostellar Capital (externally managed with Magnetar partnership) [4]. The July 2026 externalization was the most transformative change, fundamentally restructuring the company's management, governance, and deal-sourcing capabilities. However, these pivots appear driven by market necessity (persistent NAV discount, limited deal flow) rather than by service to a Just Cause, and the pattern of serial rebranding suggests reactive adaptation rather than purposeful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transition to external management was the defining leadership decision of the current era, but it is difficult to characterize as courageous sacrifice. The management team (CEO Mark Klein and team) created Neostellar Advisors LLC as their own fee-earning advisory firm through the externalization, securing long-term management fees while transferring $20M in one-time costs to shareholders [2][4]. While the Magnetar partnership may prove strategically beneficial, the structure primarily benefits management through locked-in advisory fees. No examples of leadership sacrificing short-term results for long-term capability, walking away from profitable but misaligned activities, or making costly principled decisions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Neostellar trades at a compelling 0.75x book value ($10.10 vs. $13.44 NAV) with a 9.90% dividend yield and a portfolio heavily weighted toward AI-era winners — OpenAI (15.3%), VAST Data (8.5%), TensorWave, and CoreWeave collectively represent ~34% of portfolio value and position the fund as a liquid proxy for private AI infrastructure [1][2]. The Magnetar partnership ($18B AUM, $20M co-investment) transforms deal flow capabilities and institutional credibility, while WHOOP (38.8% of portfolio, $150.8M fair value) could catalyze significant NAV uplift through a potential 2027 IPO [2]. NAV appreciation has been exceptional — up 76% quarter-over-quarter in Q1 2026 to $14.24/share, driven by $158.7M in unrealized gains, and the trailing P/E of 2.38x prices the stock at a fraction of reported earnings [1]. The fund provides retail investors rare public-market access to late-stage venture companies during the period of most significant private value creation.</w:t>
      </w:r>
    </w:p>
    <w:p>
      <w:pPr>
        <w:spacing w:after="120"/>
      </w:pPr>
      <w:r>
        <w:rPr>
          <w:rFonts w:ascii="Calibri" w:hAnsi="Calibri"/>
          <w:b w:val="0"/>
          <w:color w:val="3A4A28"/>
          <w:sz w:val="20"/>
        </w:rPr>
        <w:t>The bear case centers on NAV volatility, structural conflicts, and concentration risk. NAV already declined from $14.24 to $13.44 per share in Q2 (-5.6%) after absorbing $20M in one-time externalization costs ($0.88/share) and convertible note dilution ($0.29/share), demonstrating how quickly paper gains can erode [2]. The portfolio is dangerously concentrated — WHOOP alone represents 38.8% of fair value, and the top 5 holdings constitute 72.1% of the portfolio, meaning a single adverse event at WHOOP could destroy more than a third of NAV [1]. The externalization introduces permanent fee drag through management and incentive fees to Neostellar Advisors LLC (owned by the same management team), creating an ongoing cost that did not exist under the prior internally managed structure [4]. The operating business generates net investment losses (-$4.0M in Q1, -$0.16/share) as operating expenses far exceed fee/interest income, meaning the fund's profitability depends entirely on volatile mark-to-market gains [1]. The dividend has been inconsistent (paid 2020-2022, suspended 2023-2024, resumed 2025) and the $1.00/share payout is not covered by investment income [5]. The 0.75x NAV discount may be warranted given these structural issues rather than representing a buying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WHOOP potential IPO in 2027 could crystallize the 38.8% portfolio position ($150.8M fair value) at a premium, driving substantial NAV appreciation and potentially closing the 25% NAV discount — management indicated WHOOP 'could seek an IPO sometime next year' if conditions remain favorable [2]</w:t>
      </w:r>
    </w:p>
    <w:p>
      <w:pPr>
        <w:spacing w:before="40" w:after="40"/>
        <w:ind w:left="283"/>
      </w:pPr>
      <w:r>
        <w:rPr>
          <w:rFonts w:ascii="Calibri" w:hAnsi="Calibri"/>
          <w:b/>
          <w:color w:val="4A6B25"/>
          <w:sz w:val="20"/>
        </w:rPr>
        <w:t xml:space="preserve">2. </w:t>
      </w:r>
      <w:r>
        <w:rPr>
          <w:rFonts w:ascii="Calibri" w:hAnsi="Calibri"/>
          <w:b w:val="0"/>
          <w:color w:val="3A4A28"/>
          <w:sz w:val="20"/>
        </w:rPr>
        <w:t>Magnetar partnership unlocks institutional deal flow from an $18B AUM platform with deep AI/venture expertise, with the $350M TensorWave Series B (co-led by Magnetar and AMD Ventures) demonstrating the caliber of co-investment opportunities now accessible to the fund [2][4]</w:t>
      </w:r>
    </w:p>
    <w:p>
      <w:pPr>
        <w:spacing w:before="40" w:after="40"/>
        <w:ind w:left="283"/>
      </w:pPr>
      <w:r>
        <w:rPr>
          <w:rFonts w:ascii="Calibri" w:hAnsi="Calibri"/>
          <w:b/>
          <w:color w:val="4A6B25"/>
          <w:sz w:val="20"/>
        </w:rPr>
        <w:t xml:space="preserve">3. </w:t>
      </w:r>
      <w:r>
        <w:rPr>
          <w:rFonts w:ascii="Calibri" w:hAnsi="Calibri"/>
          <w:b w:val="0"/>
          <w:color w:val="3A4A28"/>
          <w:sz w:val="20"/>
        </w:rPr>
        <w:t>AI portfolio appreciation as OpenAI (15.3%), VAST Data (8.5%), TensorWave, and CoreWeave represent ~34% of portfolio value positioned to benefit from continued AI infrastructure spending — these positions generated the bulk of the $158.7M Q1 2026 unrealized appreciation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portfolio concentration with WHOOP at 38.8% of fair value and top 5 holdings at 72.1% — a failed WHOOP IPO, competitive setback, or valuation markdown could destroy more than a third of NAV in a single quarter, and private company valuations lack the continuous price discovery of public markets [1]</w:t>
      </w:r>
    </w:p>
    <w:p>
      <w:pPr>
        <w:spacing w:before="40" w:after="40"/>
        <w:ind w:left="283"/>
      </w:pPr>
      <w:r>
        <w:rPr>
          <w:rFonts w:ascii="Calibri" w:hAnsi="Calibri"/>
          <w:b/>
          <w:color w:val="4A6B25"/>
          <w:sz w:val="20"/>
        </w:rPr>
        <w:t xml:space="preserve">2. </w:t>
      </w:r>
      <w:r>
        <w:rPr>
          <w:rFonts w:ascii="Calibri" w:hAnsi="Calibri"/>
          <w:b w:val="0"/>
          <w:color w:val="3A4A28"/>
          <w:sz w:val="20"/>
        </w:rPr>
        <w:t>Externalization fee drag through Neostellar Advisors LLC (owned by the management team and Magnetar) introduces permanent management and incentive fees that did not exist under the prior internal structure, reducing net returns to shareholders while the operating business already generates net investment losses [2][4]</w:t>
      </w:r>
    </w:p>
    <w:p>
      <w:pPr>
        <w:spacing w:before="40" w:after="40"/>
        <w:ind w:left="283"/>
      </w:pPr>
      <w:r>
        <w:rPr>
          <w:rFonts w:ascii="Calibri" w:hAnsi="Calibri"/>
          <w:b/>
          <w:color w:val="4A6B25"/>
          <w:sz w:val="20"/>
        </w:rPr>
        <w:t xml:space="preserve">3. </w:t>
      </w:r>
      <w:r>
        <w:rPr>
          <w:rFonts w:ascii="Calibri" w:hAnsi="Calibri"/>
          <w:b w:val="0"/>
          <w:color w:val="3A4A28"/>
          <w:sz w:val="20"/>
        </w:rPr>
        <w:t>NAV volatility and unreliable income as demonstrated by the Q2 2026 decline from $14.24 to $13.44/share (-5.6%), inconsistent dividend history (suspended 2023-2024), and dependence on unrealized mark-to-market gains that could reverse sharply in a venture downturn or rising rate environment [1][2][5]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Neostellar's core business — capital allocation into private venture-backed companies — is structurally protected from AI disruption. The fund's value proposition rests on deal access, relationship networks, due diligence expertise, and the Magnetar platform's $18B institutional infrastructure, none of which AI can replicate in the near term [4]. The investment management function requires human judgment on illiquid, information-asymmetric private company valuations that AI cannot yet perform. AI-powered investment platforms could eventually democratize venture access, but the private market's relationship-driven deal flow and information advantages create meaningful moats. More importantly, ~34% of the portfolio is allocated to AI infrastructure companies (OpenAI, CoreWeave, TensorWave, VAST Data), meaning AI tailwinds directly benefit the fund's NAV [1][2]. AI Opportunity (1/1): The fund generates substantial returns from AI-related investments. OpenAI exposure (15.3% of portfolio via ARK Type One Deep Ventures Fund, $59.3M fair value), CoreWeave ($15.9M), TensorWave ($20M committed, received $350M Series B), and VAST Data ($32.8M) collectively represent ~34% of portfolio allocation — the Q1 2026 unrealized appreciation of $158.7M was substantially driven by AI portfolio company valuations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SuRo Capital Q1 2026 Earnings Release — NAV $14.24/share, Net Assets $361.6M, Portfolio $388.5M (36 companies), Unrealized Appreciation $158.7M, Net Investment Loss -$4.0M, May 2026</w:t>
      </w:r>
    </w:p>
    <w:p>
      <w:pPr>
        <w:spacing w:before="20" w:after="20"/>
        <w:ind w:left="170"/>
      </w:pPr>
      <w:r>
        <w:rPr>
          <w:rFonts w:ascii="Calibri" w:hAnsi="Calibri"/>
          <w:b/>
          <w:color w:val="4A6B25"/>
          <w:sz w:val="15"/>
        </w:rPr>
        <w:t xml:space="preserve">2. </w:t>
      </w:r>
      <w:r>
        <w:rPr>
          <w:rFonts w:ascii="Calibri" w:hAnsi="Calibri"/>
          <w:b w:val="0"/>
          <w:color w:val="3A4A28"/>
          <w:sz w:val="17"/>
        </w:rPr>
        <w:t>SuRo Capital/Neostellar Q2 2026 Earnings Call — NAV $13.44/share, $20M Externalization Costs, TensorWave $15M Investment, CoreWeave $6.5M Distributions, WHOOP Potential 2027 IPO,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NSLR Key Statistics: Stock Price $10.10, Market Cap $267M, P/E 2.38, D/E 0.18, ROE 43.19%, Avg Volume 203,984, Dividend $1.00 (9.90% yield),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Neostellar Launch / SuRo-Magnetar Partnership — Externally Managed Since July 15, 2026, Magnetar $20M Investment, Neostellar Advisors LLC, $18B AUM Platform, July 2026</w:t>
      </w:r>
    </w:p>
    <w:p>
      <w:pPr>
        <w:spacing w:before="20" w:after="20"/>
        <w:ind w:left="170"/>
      </w:pPr>
      <w:r>
        <w:rPr>
          <w:rFonts w:ascii="Calibri" w:hAnsi="Calibri"/>
          <w:b/>
          <w:color w:val="4A6B25"/>
          <w:sz w:val="15"/>
        </w:rPr>
        <w:t xml:space="preserve">5. </w:t>
      </w:r>
      <w:r>
        <w:rPr>
          <w:rFonts w:ascii="Calibri" w:hAnsi="Calibri"/>
          <w:b w:val="0"/>
          <w:color w:val="3A4A28"/>
          <w:sz w:val="17"/>
        </w:rPr>
        <w:t>NSLR Dividend History — Dividends Paid 2020-2022 and 2025-2026 (Gap in 2023-2024), Current $1.00/share Annual, StockAnalysis,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