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NTHI</w:t>
      </w:r>
      <w:r>
        <w:rPr>
          <w:rFonts w:ascii="Calibri" w:hAnsi="Calibri"/>
          <w:b/>
          <w:color w:val="1A2010"/>
          <w:sz w:val="40"/>
        </w:rPr>
        <w:t xml:space="preserve">  NeOnc Technologies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2026-10-06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Clinical-stage biopharmaceutical company developing molecular technologies for targeted delivery of therapeutics to treat CNS malignancies such as glioma, glioblastoma and meningioma.</w:t>
      </w:r>
    </w:p>
    <w:p>
      <w:r>
        <w:rPr>
          <w:rFonts w:ascii="Calibri" w:hAnsi="Calibri"/>
          <w:b/>
          <w:color w:val="6E8450"/>
          <w:sz w:val="18"/>
        </w:rPr>
        <w:t>https://neonc.com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1: clinical programs advanced but no commercial launches; only $39,990 of right-to-try revenue [1]. AI 0: none evident. Market share 0: pre-revenue. Pipeline 1: named CNS cancer programs with clinical milestones but uncertain timelines [2]. R&amp;D 1: spending is essentially all R&amp;D, above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2: clear aim of treating CNS cancers with targeted delivery [2]. No evidence found for community programs, retention, or insider buying; scored 0.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about 185,189 shares x $2.92 is roughly $0.54M daily, below $1M, so Infrastructure is 0. Revenue is $0, net loss was $14.2M in Q2 2026, and ROE and margin are unavailable or non-positive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Pre-revenue biotech with a genuine patient-focused cause, but dependent on repeated capital raising with a concentrated leadership structure.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Treating intracranial malignancies is a genuine and distinctive cause, but untested through multi-year execution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cultural red flags or retention data found; adequate by default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rival-learning language; competitive framing is not evident.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Too early-stage to have faced a pivot test.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Continuing heavy R&amp;D spend despite losses ($14.2M Q2 net loss) is courageous but also necessity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NeOnc targets glioblastoma and other CNS cancers with novel delivery technologies, and any positive clinical readout could drive large re-rating from an $84M market cap [1][2]. Molecular technology IP gives optionality.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No revenue, a Q2 2026 net loss of $14.24M (vs $5.68M a year earlier) and EPS of -$0.58 imply continued dilution [1]. The stock is below its 50-day average ($2.92 vs $3.86), illiquidity breaches the IOWN floor, and the CEO is also Executive Chairman and President, concentrating governance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Clinical trial readouts in glioma and glioblastoma programs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Regulatory designations or partnerships validating the delivery platform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Non-dilutive financing extending runway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Clinical failure of lead programs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equity dilution with widening losses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Illiquidity and concentrated governance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Drug development is regulated and physical-world, with clinical data and FDA approval as moats that AI cannot substitute; AI may accelerate rivals' discovery but not displace trials [2]. No AI revenue, so the tiebreaker is 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NeOnc Technologies Q2 2026 10-Q summary, TradingView,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NeOnc Technologies leadership and company profile, neonc.com,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NeOnc Q1 2026 Financial Results press release, GlobeNewswire,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via yfinance, NTHI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