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NTNX</w:t>
      </w:r>
      <w:r>
        <w:rPr>
          <w:rFonts w:ascii="Calibri" w:hAnsi="Calibri"/>
          <w:b/>
          <w:color w:val="1A2010"/>
          <w:sz w:val="40"/>
        </w:rPr>
        <w:t xml:space="preserve">  Nutanix,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2026-10-20 · Inspire: 63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Nutanix sells a hybrid multicloud infrastructure software platform (AOS, AHV hypervisor, Nutanix Cloud Platform) that replaced legacy hyperconverged appliances with a subscription-based, software-defined model. FY2026 (ended July 31) revenue reached $2.85B (+12% YoY) with ARR of $2.55B (+16% YoY), free cash flow of $841M (29% margin), and Q4 FY2026 revenue of $757.1M (+16% YoY). CEO Rajiv Ramaswami leads the company, with AMD investing up to $250M for joint AI infrastructure development.</w:t>
      </w:r>
    </w:p>
    <w:p>
      <w:r>
        <w:rPr>
          <w:rFonts w:ascii="Calibri" w:hAnsi="Calibri"/>
          <w:b/>
          <w:color w:val="6E8450"/>
          <w:sz w:val="18"/>
        </w:rPr>
        <w:t>9,900 Employees · https://www.nutanix.com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Nutanix completed a multi-year transition from perpetual-license hardware appliances to a subscription-based hybrid multicloud software model, fundamentally reshaping the business — ARR grew to $2.55B (+16% YoY) as the subscription transition matured [1]. The company is now extending into AI infrastructure with GPT-in-a-Box and Nutanix Enterprise AI, though this remains an incremental evolution of the platform rather than a category-redefining pivot. AI Deployment (2/2): GPT-in-a-Box 2.0 and Nutanix Enterprise AI are shipping with NVIDIA NIM inference integration and Hugging Face LLM library support, providing enterprises a turnkey on-premises AI deployment path [2]. AMD invested up to $250M in Nutanix for joint AI infrastructure solutions, and the company is building a $20M internal AI cluster to reduce reliance on external AI tools [2]. Market Share (1/2): Nutanix is capturing meaningful share as customers migrate from VMware following Broadcom's pricing changes, reflected in ARR climbing 16% YoY and Q4 FY2026 revenue growing 16%, but no specific quantified market-share percentage was identified [1]. Product Pipeline (1/2): The AMD GPU partnership, Cisco Compute Hyperconverged collaboration, and continued AHV/AI Cloud Platform roadmap are shipping, with CEO Ramaswami discussing agentic AI initiatives at a July 2026 keynote, though specific next-gen launch dates with quantified revenue visibility are not disclosed [2]. R&amp;D Intensity (0/1): No specific R&amp;D-as-percent-of-revenue comparison versus infrastructure-software peers was confirmed in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Nutanix's stated purpose — 'makes infrastructure invisible, elevating IT to focus on the applications and services that power their business' — is clear and describes what the company does, but reads as a functional product statement rather than a distinctive, idealistic cause that transcends the company's specific technology [1]. It lacks the aspirational quality of a purpose people would sacrifice for. Community Impact (1/2): Nutanix publishes annual ESG reports covering greenhouse gas emissions, workforce programs, and sustainability initiatives, but no specific charitable dollar amounts or flagship community investment programs were identified in research [3]. Employee Retention (0/2): Nutanix announced a workforce reduction of approximately 5% alongside Q4 FY2026 results, signaling cost-management pressure despite solid financial performance [1]. CEO Ramaswami has served since December 2020, providing 6 years of leadership continuity, but no specific voluntary turnover rates or average tenure data are publicly available. Insider Buying (0/2): No evidence of meaningful net insider buying by executives in the last 12 months; the previous report noted President/CCO Tarkan Maner sold shares in May-June 2026.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stock. ROE of 374.6% scores at maximum (1.0, 2x weight), though this figure is inflated by Nutanix's thin equity base — the company transitioned from negative to positive equity recently, making the denominator artificially small [1]. Revenue growth YoY of 15.9% exceeds the 10% target (score 1.0, 1x weight), driven by VMware migration demand and subscription expansion. Profit margin of 52.8% scores at maximum (1.0, 1x weight), though this figure is distorted by a one-time FY2026 tax benefit — the non-GAAP operating margin was approximately 22% [1]. D/E of 216.6% scores 0.36 (1x weight), reflecting convertible notes and other debt against the still-thin equity base. Forward P/E of 25.27 scores 0.87 (1x weight), reasonable for mid-teens growth software. 5-year revenue CAGR estimated at approximately 15% (from ~$1.4B in FY2021 to $2.85B in FY2026, score 1.0, 2x weight). PEG excluded as current earnings growth is distorted by the profitability inflection. Liquidity: 2.6M shares x $67.53 = $176M daily dollar volume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Nutanix is a well-run, financially recovering infrastructure vendor riding a real tailwind from VMware/Broadcom customer defections, but it does not read as an infinite-game company in Sinek's framework. Its mission is functional rather than a resilient, idealistic Just Cause, its competitive posture is framed around capturing displaced VMware share rather than mutual improvement with rivals, and while the subscription-model transition and AI pivot show adaptability, the 5% workforce reduction alongside record revenue suggests cost optimization takes priority over building trusting teams.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'Makes infrastructure invisible' is a real but narrow purpose that shapes product design, not a resilient, inclusive, or idealistic cause in Sinek's sense — it describes a product outcome rather than a future state people would sacrifice to advance [1]. The company's current momentum is largely opportunistic (VMware displacement) rather than cause-driven, and CEO Ramaswami's competitive narrative centers on market share capture rather than advancing a broader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Ramaswami provides stable leadership continuity since December 2020 (6 years), and the company maintains a cohesive executive team [2]. However, the 5% workforce reduction announced alongside Q4 FY2026 results — at a time of record revenue and strong cash flow — introduces tension with Sinek's Circle of Safety ideal, as layoffs during growth suggest cost optimization priorities over team stability [1]. No specific voluntary turnover data is available to further assess organizational trust.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Nutanix's growth narrative is framed almost entirely around capturing customers fleeing Broadcom's VMware pricing — a share-capture, competitor-displacement framing rather than a worthy-rival mindset [1]. CEO Ramaswami has criticized Broadcom's licensing approach and positioned Nutanix as a better alternative, rather than acknowledging VMware's historic strengths or learning from competitive dynamics.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Nutanix evolved from perpetual-license hyperconverged hardware appliances to a subscription-based hybrid multicloud software company and is now extending into AI infrastructure with GPT-in-a-Box and the AMD partnership [1][2]. This represents a real, multi-year business-model transformation, though it was incremental and market-driven rather than a single bold reinvention driven by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multi-year transition to a subscription/ARR model required significant near-term revenue-recognition sacrifices for long-term recurring-revenue durability, evident in the ARR-centric reporting now driving FY2027 guidance of $3.18-$3.23B [1]. This was a clear example of choosing long-term capability over short-term earnings, though no additional pattern of comparable courageous decisions was identified.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Nutanix at $67.53 with an $18.3B market cap is executing a durable growth story as FY2026 revenue reached $2.85B (+12% YoY), ARR hit $2.55B (+16% YoY), and Q4 revenue of $757.1M grew 16% with expanding margins [1]. Free cash flow of $841M (29% margin) demonstrates the subscription transition has reached durable profitability, while FY2027 guidance of $3.18-$3.23B and $850-$950M FCF signals continued mid-teens growth [1]. The AMD investment of up to $250M for joint AI infrastructure and GPT-in-a-Box shipping product position Nutanix to capture on-premises enterprise AI spend as a complement to hyperscale cloud, adding a secular growth lever beyond VMware displacement [2]. At 25.3x forward earnings with ARR compounding at 16% and FCF margins approaching 30%, the valuation is reasonable for quality infrastructure software.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the durability of growth drivers and financial metric distortions. Much of Nutanix's recent momentum is opportunistic share capture from Broadcom's VMware pricing disruption — once that displacement wave normalizes, growth could decelerate toward high-single digits, and management's FY2027 guidance of only 12% at midpoint already suggests deceleration [1]. The headline ROE of 374.6% and profit margin of 52.8% are heavily distorted by a one-time FY2026 tax benefit and the company's thin equity base — the normalized non-GAAP operating margin is approximately 22%, and D/E of 216.6% reflects meaningful leverage from convertible notes. The 5% workforce reduction during record revenue raises questions about growth sustainability. HCI growth rates are slowing as management flagged elevated hardware prices persisting into FY2027, potentially pressuring customer adoption economics [1]. No meaningful insider buying provides a neutral rather than confirming signal.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VMware customer migration following Broadcom's pricing and licensing changes, driving the ARR expansion toward $3B+ as enterprises seek stable, cost-effective alternatives for virtualization infrastructure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AMD partnership deepening with up to $250M investment for joint GPU-integrated HCI solutions, positioning Nutanix as a primary on-premises AI infrastructure platform alongside GPT-in-a-Box adoption with NVIDIA NIM integration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Margin expansion toward 25%+ non-GAAP operating margin as the subscription transition fully matures and FY2027 free cash flow guidance of $850-$950M is realized, potentially reaching 30%+ FCF margins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VMware displacement wave normalization — growth is heavily dependent on a one-time competitor-disruption event; once migration is substantially complete, YoY revenue growth could decelerate from mid-teens toward high-single digits, compressing the valuation multiple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Financial metric distortions — ROE of 374.6% and profit margin of 52.8% are inflated by a one-time tax benefit and thin equity base; D/E of 216.6% from convertible notes represents real leverage that the headline profitability metrics obscure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Hardware price headwinds — management flagged elevated hardware prices expected to persist into FY2027, which could slow customer adoption of Nutanix HCI solutions and pressure win rates against cloud-native alternatives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Nutanix is itself AI infrastructure — its hybrid multicloud platform, AHV hypervisor, and Nutanix Enterprise AI/GPT-in-a-Box products are the on-premises rails enterprises use to deploy AI workloads, meaning enterprise AI adoption is structurally a tailwind, not a threat [2]. Switching costs on core infrastructure software are high, and the VMware/Broadcom pricing disruption is actively pushing customers toward Nutanix, reinforcing the competitive moat [1]. The AMD investment of up to $250M for joint GPU-integrated HCI solutions further positions Nutanix as an AI enabler. AI Opportunity (1/1): GPT-in-a-Box and Nutanix Enterprise AI are shipping with NVIDIA NIM integration, AMD has invested up to $250M for joint AI solutions, and the company is building a $20M internal AI cluster — while no specific AI revenue percentage was disclosed, the AMD investment and shipping products represent quantifiable AI-related commercial activity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Nutanix FY2026 and Q4 Results — Full Year Revenue $2.85B (+12% YoY), Q4 Revenue $757.1M (+16%), ARR $2.55B (+16%), FCF $841M (29% Margin), FY2027 Guidance $3.18-$3.23B, 5% Workforce Reduction — SEC 10-K, Quartr, Barchart, Blocks &amp; Files,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Nutanix AI Strategy — AMD Up to $250M Investment, GPT-in-a-Box 2.0, Nutanix Enterprise AI, NVIDIA NIM Integration, $20M Internal AI Cluster, CEO Ramaswami July 2026 Keynote on Agentic AI — Blocks &amp; Files, CEOInterviews, LinkedIn,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Nutanix ESG and Corporate — Annual ESG Reports, Equator Principles, Environmental Programs — nutanix.com, SEC EDGAR, StockAnalysis.com,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