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NTR</w:t>
      </w:r>
      <w:r>
        <w:rPr>
          <w:rFonts w:ascii="Calibri" w:hAnsi="Calibri"/>
          <w:b/>
          <w:color w:val="1A2010"/>
          <w:sz w:val="40"/>
        </w:rPr>
        <w:t xml:space="preserve">  Nutrien Ltd.</w:t>
      </w:r>
    </w:p>
    <w:p>
      <w:pPr>
        <w:spacing w:after="120"/>
      </w:pPr>
      <w:r>
        <w:rPr>
          <w:rFonts w:ascii="Calibri" w:hAnsi="Calibri"/>
          <w:b/>
          <w:color w:val="6E8450"/>
          <w:sz w:val="18"/>
        </w:rPr>
        <w:t>DIVIDEND SLEEVE · 2026-08-31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Agricultural Inputs · NYSE · Canada</w:t>
      </w:r>
    </w:p>
    <w:p>
      <w:pPr>
        <w:spacing w:after="80"/>
      </w:pPr>
      <w:r>
        <w:rPr>
          <w:rFonts w:ascii="Calibri" w:hAnsi="Calibri"/>
          <w:b w:val="0"/>
          <w:color w:val="3A4A28"/>
          <w:sz w:val="20"/>
        </w:rPr>
        <w:t>Nutrien is the world's largest provider of crop inputs and services, operating through three segments: Nutrien Ag Solutions (retail), Potash, and Nitrogen. Formed from the 2018 merger of PotashCorp and Agrium, the company operates the world's largest potash production capacity, significant nitrogen and phosphate assets, and approximately 2,000 retail locations across North America, South America, and Australia. Q2 2026 revenue was $10.8B (+4% YoY) with record potash sales volumes and H1 2026 adjusted EBITDA of $3.54B (+6% YoY). Market cap approximately $35B.</w:t>
      </w:r>
    </w:p>
    <w:p>
      <w:r>
        <w:rPr>
          <w:rFonts w:ascii="Calibri" w:hAnsi="Calibri"/>
          <w:b/>
          <w:color w:val="6E8450"/>
          <w:sz w:val="18"/>
        </w:rPr>
        <w:t>23,500 Employees · https://www.nutrien.com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Nutrien has executed incremental operational improvements since the transformative PotashCorp-Agrium merger in 2018, including retail network optimization and digital agriculture platform expansion, but no new product launches or business model pivots that opened meaningful new revenue streams in the past 5 years [1]. AI Deployment (0/2): Leadership describes AI as 'an enabler, more so than a disruptor' and the company is exploring agentic AI in workforce planning, but no AI-powered products are shipping to customers and no specific AI-driven cost savings have been quantified [3]. Market Share (2/2): Nutrien is the world's largest crop inputs and services company with dominant potash market share — the company delivered record potash sales volumes in H1 2026 of 7.6M tonnes and raised full-year potash volume guidance to 14.2-14.8M tonnes, reinforcing its category leadership position [1]. Product Pipeline (1/2): Nutrien is evaluating a new clean ammonia production facility at its existing Geismar, Louisiana site with potential capacity of 1.2M tonnes annually, signaling next-generation positioning in low-carbon agriculture, but specific launch timelines and revenue visibility remain vague [5]. R&amp;D Intensity (0/1): R&amp;D spending is at or below industry average for agricultural inputs companies; Nutrien's competitive advantage is scale and distribution rather than R&amp;D-driven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Nutrien's purpose — 'Feeding the Future' — is specific, thoughtful, and connects the company's work to a genuine larger purpose: sustainably feeding a growing global population expected to reach 10 billion by 2050 [2]. The mission differentiates from peers, shapes strategic decisions (sustainability commitments, clean ammonia evaluation), and is referenced consistently by leadership including CEO Ken Seitz. However, the company was formed only in 2018, so the purpose has not yet been validated through decades of consistent execution across multiple crises. Community Impact (1/2): Nutrien's Feeding the Future Plan includes sustainability commitments aligned with SBTi emissions targets, and the company has measured approximately 1 million acres of sustainable agriculture practices across North America and Australia, but specific charitable giving dollar amounts or distinctive community programs were not identified [5]. Employee Retention (0/2): No specific employee turnover data, average tenure, or retention metrics were found in public filings or press releases. CEO Seitz emphasizes safety and inclusion but no quantifiable evidence of above-average retention was available. Insider Buying (0/2): The only insider purchase identified was Mark Thompson acquiring 163 shares worth C$13,151 — negligible relative to the company's $35B market cap and not indicative of meaningful executive conviction through personal capital commitment.</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Dividend-sleeve stock. Nutrien's balance sheet is a standout with D/E of 42% well below the 70% target, and forward P/E of 15.66 comfortably under the 20x ceiling [4][1]. Payout ratio of 44% is near the 40% target, and 8 consecutive years of dividend payments and growth since the 2018 formation demonstrate commitment to income investors. The primary drags are ROE of 9.22%, well below the 15% target due to the large equity base ($25.9B shareholders' equity), profit margin of 8.74% reflecting agricultural commodity economics, a flat 5-year revenue CAGR of approximately 0% driven by extreme commodity price volatility (revenue spiked to $37.9B in 2022 on Ukraine-driven fertilizer prices before normalizing), and 5-year dividend growth CAGR of ~4.7% below the 6% target. The stock clears the liquidity floor with daily volume of ~2.5M shares at $72.64 ($182M daily turnover)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Nutrien displays genuine purpose through its 'Feeding the Future' mission connecting agricultural inputs to global food security, and the 2018 merger itself was a forward-looking move to create the world's largest integrated crop inputs platform. However, the company is only 8 years old in its current form, limiting the track record Sinek would require to validate long-term cause commitment. Leadership under CEO Ken Seitz has been stable and operationally focused, but no dramatic courageous bets or transformative pivots have been evident — the company has focused on optimizing the merged entity rather than reinventing itself.</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'Feeding the Future' is a genuine cause that is inclusive (feeding the world), service-oriented (benefiting global food security), idealistic (a future without food insecurity), and big (can never be fully achieved). Leadership references this purpose in strategic communications, and decisions like the clean ammonia evaluation and sustainable agriculture commitments can be traced to it [2]. However, the company was formed in 2018 — too recent to have been tested through multiple market crises, leadership transitions, or industry disruptions. The purpose has not yet been validated by decades of consistent execution in the way Sinek requires for the highest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Nutrien maintains a stable organization with consistent leadership since Ken Seitz's appointment as CEO in August 2022. The company emphasizes safety, integrity, inclusion, respect, and accountability as core values, and Seitz has a 'personal commitment to employee safety and an inclusive workplace' [3]. No evidence of major layoffs, cultural dysfunction, or organizational instability was identified. However, no specific data on voluntary turnover, average employee tenure, or employee empowerment programs was available to demonstrate trust levels above industry average.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was found of Nutrien's leadership acknowledging competitors' strengths or framing competition as motivation for self-improvement. The agricultural inputs industry is competitive (Mosaic, CF Industries, K+S) but Nutrien's public communications focus on its own market leadership and operational efficiency rather than learning from rivals. No management commentary referencing worthy competitors or using competitive dynamics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2018 merger of PotashCorp and Agrium was a significant strategic move that created a fundamentally different company — the world's first vertically integrated crop inputs provider combining mining, manufacturing, and retail distribution. The current evaluation of clean ammonia production at Geismar represents incremental evolution toward low-carbon agriculture [5]. However, no transformative pivot driven by the Just Cause has occurred since the merger — the company has optimized its existing business model rather than reinventing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Ken Seitz has demonstrated some courageous decisions, including lowering capital expenditure guidance from $2.0-2.1B to $1.95-2.05B to prioritize capital efficiency and structural free cash flow growth, while simultaneously investing in the clean ammonia opportunity at Geismar despite uncertain near-term returns [1][5]. The company maintained dividend growth through the 2023-2024 commodity price downturn. However, no dramatic examples of leadership sacrificing near-term results for long-term capability — walking away from profitable businesses, investing heavily during downturns at the expense of earnings —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Nutrien at 15.66x forward earnings offers exposure to the world's largest crop inputs platform with improving fundamentals — H1 2026 adjusted EBITDA grew 6% to $3.54B on record potash volumes and 8% revenue growth, while management raised potash volume guidance and lowered capex, signaling structural free cash flow improvement [1]. The D/E ratio of 42% provides balance sheet flexibility, and the 3.16% dividend yield with 8 consecutive years of growth and a 44% payout ratio offers sustainable income with room for dividend acceleration. Operating cash flow grew 12% to $1.63B in H1 2026, and the company returned $848M to shareholders through dividends ($528M) and buybacks ($320M). Global food security dynamics — a growing population requiring more efficient agricultural production — provide a secular demand tailwind for crop inputs that is insensitive to technology disruption [2].</w:t>
      </w:r>
    </w:p>
    <w:p>
      <w:pPr>
        <w:spacing w:after="120"/>
      </w:pPr>
      <w:r>
        <w:rPr>
          <w:rFonts w:ascii="Calibri" w:hAnsi="Calibri"/>
          <w:b w:val="0"/>
          <w:color w:val="3A4A28"/>
          <w:sz w:val="20"/>
        </w:rPr>
        <w:t>The bear case centers on commodity cyclicality, margin compression, and limited growth upside. Nutrien's revenue has been violently cyclical — surging to $37.9B in 2022 on Ukraine-driven fertilizer price spikes before declining to ~$24B in 2024 as prices normalized, producing a flat 5-year revenue CAGR [4]. ROE of 9.22% significantly trails the 15% target, reflecting the capital-intensive nature of mining and chemical processing on a $25.9B equity base. Profit margin of 8.74% is structurally constrained by commodity economics and competitive retail distribution. The phosphate segment posted a 48% decline in H1 2026 adjusted EBITDA to $80M, illustrating ongoing segment volatility [1]. Nutrien generates no meaningful AI revenue and has limited innovation pipeline beyond the speculative clean ammonia facility. The Inspire Impact Score of 0 (MIXED) reflects a neutral faith alignment profile. Potash pricing remains subject to geopolitical risk, with Belarus sanctions and Russian export restrictions creating supply uncertainty that could swing earnings in either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potash sales volumes with raised 2026 guidance of 14.2-14.8M tonnes, supported by strong offshore demand in India, China, and Southeast Asia — continued volume momentum could drive upside to full-year EBITDA targets [1]</w:t>
      </w:r>
    </w:p>
    <w:p>
      <w:pPr>
        <w:spacing w:before="40" w:after="40"/>
        <w:ind w:left="283"/>
      </w:pPr>
      <w:r>
        <w:rPr>
          <w:rFonts w:ascii="Calibri" w:hAnsi="Calibri"/>
          <w:b/>
          <w:color w:val="4A6B25"/>
          <w:sz w:val="20"/>
        </w:rPr>
        <w:t xml:space="preserve">2. </w:t>
      </w:r>
      <w:r>
        <w:rPr>
          <w:rFonts w:ascii="Calibri" w:hAnsi="Calibri"/>
          <w:b w:val="0"/>
          <w:color w:val="3A4A28"/>
          <w:sz w:val="20"/>
        </w:rPr>
        <w:t>Clean ammonia facility evaluation at Geismar, Louisiana with potential 1.2M tonnes annual capacity could position Nutrien as a first-mover in low-carbon agricultural inputs, accessing premium pricing from sustainability-focused buyers [5]</w:t>
      </w:r>
    </w:p>
    <w:p>
      <w:pPr>
        <w:spacing w:before="40" w:after="40"/>
        <w:ind w:left="283"/>
      </w:pPr>
      <w:r>
        <w:rPr>
          <w:rFonts w:ascii="Calibri" w:hAnsi="Calibri"/>
          <w:b/>
          <w:color w:val="4A6B25"/>
          <w:sz w:val="20"/>
        </w:rPr>
        <w:t xml:space="preserve">3. </w:t>
      </w:r>
      <w:r>
        <w:rPr>
          <w:rFonts w:ascii="Calibri" w:hAnsi="Calibri"/>
          <w:b w:val="0"/>
          <w:color w:val="3A4A28"/>
          <w:sz w:val="20"/>
        </w:rPr>
        <w:t>Capital efficiency improvements with lowered capex guidance ($1.95-2.05B from $2.0-2.1B) and accelerating share buybacks in Q3 2026, combined with 12% operating cash flow growth, suggest expanding free cash flow for shareholder returns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commodity price cyclicality — Nutrien's revenue swung from $18.2B (2020) to $37.9B (2022) to ~$24B (2024), making earnings inherently unpredictable and driving a flat 5-year revenue CAGR despite current growth momentum [4]</w:t>
      </w:r>
    </w:p>
    <w:p>
      <w:pPr>
        <w:spacing w:before="40" w:after="40"/>
        <w:ind w:left="283"/>
      </w:pPr>
      <w:r>
        <w:rPr>
          <w:rFonts w:ascii="Calibri" w:hAnsi="Calibri"/>
          <w:b/>
          <w:color w:val="4A6B25"/>
          <w:sz w:val="20"/>
        </w:rPr>
        <w:t xml:space="preserve">2. </w:t>
      </w:r>
      <w:r>
        <w:rPr>
          <w:rFonts w:ascii="Calibri" w:hAnsi="Calibri"/>
          <w:b w:val="0"/>
          <w:color w:val="3A4A28"/>
          <w:sz w:val="20"/>
        </w:rPr>
        <w:t>Phosphate segment deterioration with a 48% decline in H1 2026 adjusted EBITDA to $80M, reflecting oversupply and pricing pressure that could spread to other nutrient segments if global agricultural spending contracts [1]</w:t>
      </w:r>
    </w:p>
    <w:p>
      <w:pPr>
        <w:spacing w:before="40" w:after="40"/>
        <w:ind w:left="283"/>
      </w:pPr>
      <w:r>
        <w:rPr>
          <w:rFonts w:ascii="Calibri" w:hAnsi="Calibri"/>
          <w:b/>
          <w:color w:val="4A6B25"/>
          <w:sz w:val="20"/>
        </w:rPr>
        <w:t xml:space="preserve">3. </w:t>
      </w:r>
      <w:r>
        <w:rPr>
          <w:rFonts w:ascii="Calibri" w:hAnsi="Calibri"/>
          <w:b w:val="0"/>
          <w:color w:val="3A4A28"/>
          <w:sz w:val="20"/>
        </w:rPr>
        <w:t>ROE of 9.22% on a $25.9B equity base indicates structurally low capital returns for a commodity business — without sustained higher fertilizer prices or meaningful cost reduction, the stock may struggle to re-rate above commodity-sector multiples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Nutrien's core business is structurally immune to AI disruption. Potash and nitrogen fertilizer production requires physical mining operations, chemical processing plants, and a vast logistics network — none of which AI can substitute [3]. The 2,000+ retail locations providing agronomic advice, soil testing, and crop input distribution involve physical-world relationships and local knowledge that AI tools cannot replicate. Global food demand is inelastic and growing, ensuring sustained demand for crop inputs regardless of AI advancement. Nutrien's SVP of Retail explicitly characterizes AI as 'an enabler, more so than a disruptor,' noting that AI enhances precision agriculture recommendations and supply chain optimization without threatening the core value proposition [3]. Analysts have not flagged AI as a disruption risk for agricultural input companies. AI Opportunity (0/1): Nutrien does not generate quantifiable revenue from AI products or services. The company is deploying AI internally for workforce planning and exploring digital agriculture tools, but no AI-derived revenue has been separately identified or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Nutrien Q2 2026 Earnings Release — Revenue $10.8B (+4% YoY), Adjusted EBITDA $2.43B, Record Potash Volumes, Raised Volume Guidance, August 5, 2026</w:t>
      </w:r>
    </w:p>
    <w:p>
      <w:pPr>
        <w:spacing w:before="20" w:after="20"/>
        <w:ind w:left="170"/>
      </w:pPr>
      <w:r>
        <w:rPr>
          <w:rFonts w:ascii="Calibri" w:hAnsi="Calibri"/>
          <w:b/>
          <w:color w:val="4A6B25"/>
          <w:sz w:val="15"/>
        </w:rPr>
        <w:t xml:space="preserve">2. </w:t>
      </w:r>
      <w:r>
        <w:rPr>
          <w:rFonts w:ascii="Calibri" w:hAnsi="Calibri"/>
          <w:b w:val="0"/>
          <w:color w:val="3A4A28"/>
          <w:sz w:val="17"/>
        </w:rPr>
        <w:t>Nutrien About / Feeding the Future — Company Purpose, Mission, Sustainability Commitments, nutrien.com,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AgWeb — Nutrien's New SVP of Retail Nathan Packer on AI, Reliability, and the Future of Nutrien Ag Solutions; HCI — Nutrien Workforce Planning with Agentic AI,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NTR Key Statistics: Forward P/E 15.66x, ROE 9.22%, D/E 42%, Profit Margin 8.74%, Stock Price $72.64,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Nutrien Full-Year 2025 Results and 2026 Guidance — Retail EBITDA $1.75-1.95B, Capex $1.95-2.05B, Clean Ammonia Evaluation,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