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NVAX</w:t>
      </w:r>
      <w:r>
        <w:rPr>
          <w:rFonts w:ascii="Calibri" w:hAnsi="Calibri"/>
          <w:b/>
          <w:color w:val="1A2010"/>
          <w:sz w:val="40"/>
        </w:rPr>
        <w:t xml:space="preserve">  Novavax, Inc.</w:t>
      </w:r>
    </w:p>
    <w:p>
      <w:pPr>
        <w:spacing w:after="120"/>
      </w:pPr>
      <w:r>
        <w:rPr>
          <w:rFonts w:ascii="Calibri" w:hAnsi="Calibri"/>
          <w:b/>
          <w:color w:val="6E8450"/>
          <w:sz w:val="18"/>
        </w:rPr>
        <w:t>GROWTH SLEEVE · 2026-10-20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NMS · United States</w:t>
      </w:r>
    </w:p>
    <w:p>
      <w:pPr>
        <w:spacing w:after="80"/>
      </w:pPr>
      <w:r>
        <w:rPr>
          <w:rFonts w:ascii="Calibri" w:hAnsi="Calibri"/>
          <w:b w:val="0"/>
          <w:color w:val="3A4A28"/>
          <w:sz w:val="20"/>
        </w:rPr>
        <w:t>Novavax develops and commercializes protein-based vaccines using its proprietary Matrix-M adjuvant technology, including Nuvaxovid (COVID-19) and the R21 malaria vaccine adjuvant. The company has pivoted to a capital-light out-licensing model anchored by a Sanofi partnership for a COVID-influenza combination vaccine. TTM revenue of ~$414M is down sharply from FY2025's $1.1B (inflated by one-time APA settlements), with a -59.9% profit margin and 749 employees, down from pandemic-era thousands.</w:t>
      </w:r>
    </w:p>
    <w:p>
      <w:r>
        <w:rPr>
          <w:rFonts w:ascii="Calibri" w:hAnsi="Calibri"/>
          <w:b/>
          <w:color w:val="6E8450"/>
          <w:sz w:val="18"/>
        </w:rPr>
        <w:t>749 Employees · https://www.novavax.com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Novavax developed a differentiated protein-based COVID-19 vaccine using proprietary Matrix-M adjuvant technology but arrived late to market in 2022, missing peak demand captured by Pfizer and Moderna's mRNA platforms [1]. The company's Matrix-M adjuvant was licensed for the WHO-approved R21 malaria vaccine, and the Sanofi out-licensing partnership opened a new revenue stream, but neither represents a transformative pivot. AI Deployment (0/2): No evidence of AI-powered products shipping or quantified AI-driven cost savings; an activist investor in 2024 criticized Novavax for falling behind mRNA competitors who are 'moving aggressively towards tapping into AI and Quantitative Pharmacology' [2]. Market Share (0/2): Novavax holds a negligible and declining share of the global COVID-19 vaccine market — Q2 2026 total revenue of just $57M against a multi-billion-dollar market dominated by Pfizer and Moderna [1]. Product Pipeline (1/2): The Sanofi COVID-influenza combination vaccine partnership is advancing toward Phase 3 with identified milestone payments, and Matrix-M adjuvant licensing provides platform optionality, but specific launch timelines and peak revenue projections remain vague [1]. R&amp;D Intensity (1/1): Operating margins of -89.6% reflect heavy R&amp;D spending relative to revenue, well above the commercialized biotech industry average, consistent with clinical-stage investment levels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Novavax's stated purpose — 'Creating Tomorrow's Vaccines Today' — identifies the company's public health role but is functional rather than distinctive, interchangeable with any mid-cap vaccine developer and not connected to a deeper transformative vision [3]. Community Impact (1/2): Meaningful contribution to global vaccine access through COVAX participation and Matrix-M adjuvant for the R21 malaria vaccine targeting a disease killing 600,000+ annually in sub-Saharan Africa, though these are business-aligned activities rather than separate philanthropic programs with dedicated funding [3]. Employee Retention (0/2): Glassdoor rating of 3.1/5 stars with only 44% CEO approval, below the biotech industry average of 3.5; employee reviews cite disorganized management and multi-layer approval processes, compounded by a workforce reduced from pandemic-era thousands to 749 [2]. Insider Buying (0/2): No evidence of meaningful net insider buying by CEO John Jacobs or senior executives; insiders hold approximately 5% of shares with no recent purchase activity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limited data availability. D/E, ROE, and revenue growth 5yr CAGR are unavailable and excluded. Revenue growth YoY of -76.3% is far below the -20% floor, scoring 0.0 (1x weight) [1]. Forward P/E of -66x reflects unprofitability, scored 0.0 by convention (1x weight). Profit margin of -59.9% is below the 0% floor, scoring 0.0 (1x weight). PEG ratio of 1.32 (2x weight) is the sole positive metric, scoring 0.84 against the 1.0 target/3.0 floor. Weighted sum: 1.68 / max 5.0 = Infrastructure 3. Daily dollar volume of ~$63.5M ($10.82 x 5.87M shares) clears the $1M liquidity floor comfortably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Novavax operates in survival mode following the collapse of pandemic-era COVID-19 vaccine demand, with leadership focused on financial restructuring and partnership-dependent revenue rather than building enduring capabilities. The company shrank from thousands of employees to 749, cycled through CEO changes (John Jacobs arrived 2023), and faces active shareholder revolt with 38-41% of votes opposing director re-election at the 2026 annual meeting. Strategic decisions appear reactive — pivoting to out-licensing out of financial necessity rather than pursuing a cause-driven vision of global health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Novavax's public health vaccine mission is genuine in principle but has not been validated by sustained execution — the company arrived late to COVID-19 vaccination, missed commercial targets, and now depends on Sanofi for its flagship pipeline program [1]. Leadership discussions in earnings calls focus overwhelmingly on financial guidance, milestone payments, and cost restructuring rather than advancing a higher purpose, and the active shareholder governance dispute signals internal disagreement about strategic direction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environment inconsistent with Sinek's Circle of Safety. Glassdoor rating of 3.1/5 is below the biotech industry average of 3.5, with only 44% CEO approval [2]. Employee reviews describe decisions requiring 'multiple levels of managers' and management that 'struggles with allowing associates to be autonomous.' The workforce shrank dramatically from pandemic-era levels to 749 employees, creating organizational instability and survivor anxiety.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Novavax frames its competitive position against mRNA rivals primarily as differentiation — 'protein-based alternative for mRNA-hesitant populations' — rather than acknowledging Pfizer and Moderna's strengths in speed-to-market and manufacturing scale as motivation for self-improvement [1]. No evidence of management commentary that references learning from competitors'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Novavax has shown meaningful adaptation by pivoting from a standalone vaccine manufacturer to a capital-light out-licensing model — partnering with Sanofi for the combination COVID-flu vaccine and licensing Matrix-M adjuvant for the R21 malaria vaccine [1][3]. The shift is a real strategic pivot, but it was driven by financial necessity (76% revenue collapse) rather than proactive cause-driven transformation, and commercial viability of the new model remains unproven.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under CEO John Jacobs has focused on cost-cutting, headcount reduction, and securing partnership revenue — survival tactics rather than courageous long-term investments [1][2]. The Sanofi partnership, while strategically sound, ceded significant commercial upside to a larger partner rather than investing in building independent capabilities. No evidence of leadership sacrificing short-term results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Novavax at $10.82 with a $1.8B market cap has pivoted to a capital-light out-licensing model that could stabilize the business if Sanofi milestones materialize. The COVID-influenza combination vaccine partnership is advancing toward Phase 3 with identified milestone payments, and full-year 2026 revenue guidance was raised to $235M-$275M [1]. The company holds $719M in cash against $297M in debt, providing approximately two years of runway at current burn rates. Matrix-M adjuvant licensing for the R21 malaria vaccine demonstrates platform optionality beyond COVID-19, and Q2 2026 product revenue rose 76% sequentially on partner demand [1].</w:t>
      </w:r>
    </w:p>
    <w:p>
      <w:pPr>
        <w:spacing w:after="120"/>
      </w:pPr>
      <w:r>
        <w:rPr>
          <w:rFonts w:ascii="Calibri" w:hAnsi="Calibri"/>
          <w:b w:val="0"/>
          <w:color w:val="3A4A28"/>
          <w:sz w:val="20"/>
        </w:rPr>
        <w:t>The bear case is dominant. TTM revenue collapsed 76.3% as FY2025's $1.1B (boosted by one-time APA settlements) normalized, leaving the company deeply unprofitable with -59.9% profit margin and -89.6% operating margin [1]. Forward PE of -66x reflects no earnings visibility, and the COVID-19 vaccine market is in secular decline as booster uptake rates fall to single-digit percentages of eligible populations. Glassdoor's 3.1/5 rating with 44% CEO approval and a workforce reduced to 749 signal organizational stress [2]. Short interest at 28.1% of float reflects significant bearish conviction. The 2026 shareholder revolt (38-41% opposing director re-election) creates governance instability at a critical juncture. The entire near-term thesis is concentrated in a single partner-dependent program whose Phase 3 timeline remains subject to regulatory discussions rather than a confirmed start date, and mRNA competitors using AI to accelerate vaccine design cycles are widening their structural advantage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Sanofi COVID-influenza combination vaccine advancing to Phase 3 — trial initiation would trigger milestone payments and validate Novavax's platform licensing model as a sustainable revenue source [1]</w:t>
      </w:r>
    </w:p>
    <w:p>
      <w:pPr>
        <w:spacing w:before="40" w:after="40"/>
        <w:ind w:left="283"/>
      </w:pPr>
      <w:r>
        <w:rPr>
          <w:rFonts w:ascii="Calibri" w:hAnsi="Calibri"/>
          <w:b/>
          <w:color w:val="4A6B25"/>
          <w:sz w:val="20"/>
        </w:rPr>
        <w:t xml:space="preserve">2. </w:t>
      </w:r>
      <w:r>
        <w:rPr>
          <w:rFonts w:ascii="Calibri" w:hAnsi="Calibri"/>
          <w:b w:val="0"/>
          <w:color w:val="3A4A28"/>
          <w:sz w:val="20"/>
        </w:rPr>
        <w:t>Matrix-M adjuvant royalties from R21 malaria vaccine deployment across sub-Saharan Africa, targeting 250M+ annual doses with WHO pre-qualification and multi-country rollouts [3]</w:t>
      </w:r>
    </w:p>
    <w:p>
      <w:pPr>
        <w:spacing w:before="40" w:after="40"/>
        <w:ind w:left="283"/>
      </w:pPr>
      <w:r>
        <w:rPr>
          <w:rFonts w:ascii="Calibri" w:hAnsi="Calibri"/>
          <w:b/>
          <w:color w:val="4A6B25"/>
          <w:sz w:val="20"/>
        </w:rPr>
        <w:t xml:space="preserve">3. </w:t>
      </w:r>
      <w:r>
        <w:rPr>
          <w:rFonts w:ascii="Calibri" w:hAnsi="Calibri"/>
          <w:b w:val="0"/>
          <w:color w:val="3A4A28"/>
          <w:sz w:val="20"/>
        </w:rPr>
        <w:t>FY2026 revenue guidance raised to $235M-$275M with potential upside from better-than-expected Q4 seasonal COVID booster uptake and additional licensing milestones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COVID-19 vaccine uptake to single-digit booster rates in developed markets threatens the core revenue base funding operations and R&amp;D pipeline investments [1]</w:t>
      </w:r>
    </w:p>
    <w:p>
      <w:pPr>
        <w:spacing w:before="40" w:after="40"/>
        <w:ind w:left="283"/>
      </w:pPr>
      <w:r>
        <w:rPr>
          <w:rFonts w:ascii="Calibri" w:hAnsi="Calibri"/>
          <w:b/>
          <w:color w:val="4A6B25"/>
          <w:sz w:val="20"/>
        </w:rPr>
        <w:t xml:space="preserve">2. </w:t>
      </w:r>
      <w:r>
        <w:rPr>
          <w:rFonts w:ascii="Calibri" w:hAnsi="Calibri"/>
          <w:b w:val="0"/>
          <w:color w:val="3A4A28"/>
          <w:sz w:val="20"/>
        </w:rPr>
        <w:t>Cash burn trajectory with -$37M operating cash flow and $719M cash could force dilutive equity raises or unfavorable partnership terms within 18-24 months if revenue fails to stabilize above $300M annually [1]</w:t>
      </w:r>
    </w:p>
    <w:p>
      <w:pPr>
        <w:spacing w:before="40" w:after="40"/>
        <w:ind w:left="283"/>
      </w:pPr>
      <w:r>
        <w:rPr>
          <w:rFonts w:ascii="Calibri" w:hAnsi="Calibri"/>
          <w:b/>
          <w:color w:val="4A6B25"/>
          <w:sz w:val="20"/>
        </w:rPr>
        <w:t xml:space="preserve">3. </w:t>
      </w:r>
      <w:r>
        <w:rPr>
          <w:rFonts w:ascii="Calibri" w:hAnsi="Calibri"/>
          <w:b w:val="0"/>
          <w:color w:val="3A4A28"/>
          <w:sz w:val="20"/>
        </w:rPr>
        <w:t>mRNA platform speed advantage — Pfizer and Moderna update vaccines in weeks vs. months for protein-based approaches, and AI-accelerated drug design is widening this competitive gap, potentially making Novavax's technology permanently disadvantaged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Vaccine development and manufacturing involves physical biological processes — cell culture, protein expression, adjuvant formulation, cold-chain distribution — that AI cannot substitute, and FDA/EMA regulatory approval requirements create structural moats against AI-driven disruption [1][3]. However, Novavax is not fully IMMUNE because mRNA competitors (Moderna, BioNTech) are aggressively deploying AI to accelerate vaccine design cycles, potentially widening the speed-to-market gap that already cost Novavax during the initial COVID-19 response; an activist investor specifically flagged this competitive AI adoption gap [2]. AI Opportunity (0/1): No evidence of AI-generated revenue; Novavax has not disclosed any AI-powered products, services, or quantifiable AI-driven savings contributing to its revenue or cost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Novavax Q1/Q2 2026 Financial Results — Revenue $57M (Q2, -76% YoY), Raised FY2026 Guidance to $235M-$275M, Sanofi Partnership Milestones — SEC 8-K Filing, Barchart, Quartr, May-August 2026</w:t>
      </w:r>
    </w:p>
    <w:p>
      <w:pPr>
        <w:spacing w:before="20" w:after="20"/>
        <w:ind w:left="170"/>
      </w:pPr>
      <w:r>
        <w:rPr>
          <w:rFonts w:ascii="Calibri" w:hAnsi="Calibri"/>
          <w:b/>
          <w:color w:val="4A6B25"/>
          <w:sz w:val="15"/>
        </w:rPr>
        <w:t xml:space="preserve">2. </w:t>
      </w:r>
      <w:r>
        <w:rPr>
          <w:rFonts w:ascii="Calibri" w:hAnsi="Calibri"/>
          <w:b w:val="0"/>
          <w:color w:val="3A4A28"/>
          <w:sz w:val="17"/>
        </w:rPr>
        <w:t>Novavax Leadership, Culture, and AI Risk — CEO John Jacobs, Glassdoor 3.1/5 Rating (44% CEO Approval), Activist Investor AI Criticism (Shah Capital) — Glassdoor, SEC Filings, Indeed Reviews, 2024-2026</w:t>
      </w:r>
    </w:p>
    <w:p>
      <w:pPr>
        <w:spacing w:before="20" w:after="20"/>
        <w:ind w:left="170"/>
      </w:pPr>
      <w:r>
        <w:rPr>
          <w:rFonts w:ascii="Calibri" w:hAnsi="Calibri"/>
          <w:b/>
          <w:color w:val="4A6B25"/>
          <w:sz w:val="15"/>
        </w:rPr>
        <w:t xml:space="preserve">3. </w:t>
      </w:r>
      <w:r>
        <w:rPr>
          <w:rFonts w:ascii="Calibri" w:hAnsi="Calibri"/>
          <w:b w:val="0"/>
          <w:color w:val="3A4A28"/>
          <w:sz w:val="17"/>
        </w:rPr>
        <w:t>Novavax ESG and Global Health Impact — Matrix-M Adjuvant for R21 Malaria Vaccine, COVAX Participation, Corporate ESG Disclosures — Novavax.com, SEC 10-K Filings,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