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NVDA</w:t>
      </w:r>
      <w:r>
        <w:rPr>
          <w:rFonts w:ascii="Calibri" w:hAnsi="Calibri"/>
          <w:b/>
          <w:color w:val="1A2010"/>
          <w:sz w:val="40"/>
        </w:rPr>
        <w:t xml:space="preserve">  NVIDIA Corporation</w:t>
      </w:r>
    </w:p>
    <w:p>
      <w:pPr>
        <w:spacing w:after="120"/>
      </w:pPr>
      <w:r>
        <w:rPr>
          <w:rFonts w:ascii="Calibri" w:hAnsi="Calibri"/>
          <w:b/>
          <w:color w:val="6E8450"/>
          <w:sz w:val="18"/>
        </w:rPr>
        <w:t>GROWTH SLEEVE · 2026-08-29 · Inspire: -49 · INFINITE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8F5E9" w:val="clear"/>
          </w:tcPr>
          <w:p>
            <w:pPr>
              <w:spacing w:before="40" w:after="40"/>
              <w:jc w:val="center"/>
            </w:pPr>
            <w:r>
              <w:rPr>
                <w:rFonts w:ascii="Calibri" w:hAnsi="Calibri"/>
                <w:b/>
                <w:color w:val="16A34A"/>
                <w:sz w:val="20"/>
              </w:rPr>
              <w:t>BUY</w:t>
            </w:r>
          </w:p>
        </w:tc>
      </w:tr>
    </w:tbl>
    <w:p>
      <w:pPr>
        <w:spacing w:before="120" w:after="200"/>
      </w:pPr>
      <w:r>
        <w:rPr>
          <w:rFonts w:ascii="Calibri" w:hAnsi="Calibri"/>
          <w:b/>
          <w:color w:val="1A2010"/>
          <w:sz w:val="80"/>
        </w:rPr>
        <w:t>100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Semiconductors · NASDAQ · United States</w:t>
      </w:r>
    </w:p>
    <w:p>
      <w:pPr>
        <w:spacing w:after="80"/>
      </w:pPr>
      <w:r>
        <w:rPr>
          <w:rFonts w:ascii="Calibri" w:hAnsi="Calibri"/>
          <w:b w:val="0"/>
          <w:color w:val="3A4A28"/>
          <w:sz w:val="20"/>
        </w:rPr>
        <w:t>NVIDIA Corporation designs and manufactures GPUs, networking hardware, and full-stack AI computing platforms. The company operates through two segments: Compute &amp; Networking (data center accelerators, DGX systems, networking via Mellanox, automotive DRIVE platform, and AI Enterprise software) and Graphics (GeForce GPUs, professional visualization, and Omniverse). NVIDIA's CUDA ecosystem serves as the de facto standard for accelerated computing, powering virtually all AI training and inference globally.</w:t>
      </w:r>
    </w:p>
    <w:p>
      <w:r>
        <w:rPr>
          <w:rFonts w:ascii="Calibri" w:hAnsi="Calibri"/>
          <w:b/>
          <w:color w:val="6E8450"/>
          <w:sz w:val="18"/>
        </w:rPr>
        <w:t>36,000 Employees · https://www.nvidia.com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NVIDIA has executed multiple transformative pivots — from gaming GPUs to professional visualization to crypto mining to AI computing — with each pivot redefining the company. Revenue grew from $16.7B (FY2021) to $215.9B (FY2026), a 13x increase in five years [1][2]. CUDA was built 17 years before the AI boom, representing one of the longest-horizon technology bets in computing history that paid off spectacularly. AI Deployment (2/2): NVIDIA is not deploying AI — it IS AI. H100, H200, B200, and GB200 GPUs power virtually all AI training and inference globally. Q2 FY2027 revenue of $96.2B (up 106% YoY) is almost entirely AI-driven [3]. Data center revenue of $75.2B in Q1 FY2027 (up 92%) demonstrates massive commercial traction [2]. Market Share (2/2): 90%+ share of AI training GPU market. CUDA ecosystem's 4M+ developers create insurmountable software lock-in. The company doesn't just lead the AI chip category — it defined and created it [4]. Product Pipeline (2/2): Blackwell platform shipping at scale with $108B Q3 FY2027 revenue guidance. Rubin architecture announced for next generation. Sovereign AI initiatives expanding TAM to nations building AI infrastructure. Clear product roadmap with specific timelines [3][4]. R&amp;D Intensity (1/1): R&amp;D spending well above semiconductor industry average, supporting full-stack innovation from silicon to networking to software frameworks to AI models. Jensen Huang forecasts 70% FY2028 revenue growth, sustained by continued R&amp;D investment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(4/4): 'Accelerate computing for the world's most important challenges' is the gold standard for a validated Just Cause. This mission was articulated decades ago and has been proven by 17 years of CUDA investment before the AI boom, consistent strategic decisions through gaming, crypto, and AI eras, and Jensen Huang's 32-year CEO tenure executing against this single vision [4]. The purpose IS the competitive advantage — every strategic decision from CUDA to Mellanox to DGX to Omniverse traces back to accelerating computing. Community Impact (2/2): NVIDIA Foundation supports AI for healthcare, climate science, and robotics research. The NVIDIA Academic Program and Inception accelerator program serve thousands of startups and research institutions worldwide [4][7]. NVIDIA GPUs enabled COVID-19 vaccine research, climate modeling, and protein structure prediction (AlphaFold). The company's technology has measurable humanitarian impact through enabling scientific discovery. Employee Retention (2/2): NVIDIA ranked #1 on Glassdoor's Best Places to Work in Technology list (January 2026) and Jensen Huang topped the Best CEOs list with exceptional approval ratings [6]. Huang's 32-year tenure as CEO creates extraordinary organizational stability. Employees consistently cite the mission and culture as reasons they stay. In a tight talent market for AI engineers, NVIDIA retains world-class talent that competitors cannot poach. Insider Buying (2/2): Jensen Huang's 32-year CEO tenure with his entire career, reputation, and net worth invested in NVIDIA represents the ultimate form of insider conviction. While routine 10b5-1 sales occur for diversification, Huang has maintained leadership through every market cycle, proving conviction through decades of execution rather than quarterly stock purchases.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with perfect or near-perfect marks across every metric. D/E of 17% scores 1.0, reflecting a fortress balance sheet with minimal leverage despite massive scale [5]. ROE of 117.21% scores 1.0, reflecting extraordinary capital efficiency — $192.9B TTM net income on a growing equity base [5]. Revenue growth YoY of 106% scores 1.0 (Q2 FY2027 revenue of $96.2B, more than doubling year-over-year) [3]. Revenue 5yr CAGR of approximately 67% scores 1.0, from $16.7B (FY2021) to $215.9B (FY2026) [1][5]. Forward P/E of 18.0 scores 1.0, remarkably below the 20 target for a company growing 100%+ — the market prices NVIDIA like a value stock despite hypergrowth [5]. Profit margin of 63.66% scores 1.0, one of the highest in the semiconductor industry [5]. Forward PEG of 0.37 scores 1.0, signaling extreme undervaluation relative to growth — among the lowest PEG ratios in the S&amp;P 500 for a company of this scale [5]. Liquidity floor cleared: 124.6M avg volume x $217.55 = $27.1B daily, the most liquid equity in the world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16A34A"/>
          <w:sz w:val="22"/>
        </w:rPr>
        <w:t>INFINITE</w:t>
      </w:r>
      <w:r>
        <w:rPr>
          <w:rFonts w:ascii="Calibri" w:hAnsi="Calibri"/>
          <w:b w:val="0"/>
          <w:color w:val="6E8450"/>
          <w:sz w:val="22"/>
        </w:rPr>
        <w:t xml:space="preserve">      Overall: </w:t>
      </w:r>
      <w:r>
        <w:rPr>
          <w:rFonts w:ascii="Calibri" w:hAnsi="Calibri"/>
          <w:b/>
          <w:color w:val="16A34A"/>
          <w:sz w:val="28"/>
        </w:rPr>
        <w:t>10</w:t>
      </w:r>
      <w:r>
        <w:rPr>
          <w:rFonts w:ascii="Calibri" w:hAnsi="Calibri"/>
          <w:b w:val="0"/>
          <w:color w:val="9DAF88"/>
          <w:sz w:val="18"/>
        </w:rPr>
        <w:t xml:space="preserve"> /10</w:t>
      </w:r>
    </w:p>
    <w:p>
      <w:pPr>
        <w:spacing w:after="120"/>
      </w:pPr>
      <w:r>
        <w:rPr>
          <w:rFonts w:ascii="Calibri" w:hAnsi="Calibri"/>
          <w:b w:val="0"/>
          <w:color w:val="3A4A28"/>
          <w:sz w:val="18"/>
        </w:rPr>
        <w:t>NVIDIA under Jensen Huang is the textbook case of infinite-game leadership. The 32-year CEO tenure, the 17-year CUDA investment before AI validation, multiple successful pivots driven by the 'accelerate computing' mission, and the #1 Glassdoor workplace ranking all demonstrate a company that plays to keep playing rather than to win this quarter. Sinek would cite NVIDIA alongside Apple and Southwest Airlines as a canonical infinite-game company [4][6].</w:t>
      </w:r>
    </w:p>
    <w:p>
      <w:pPr>
        <w:spacing w:before="200" w:after="40"/>
      </w:pPr>
      <w:r>
        <w:rPr>
          <w:rFonts w:ascii="Calibri" w:hAnsi="Calibri"/>
          <w:b/>
          <w:color w:val="1A2010"/>
          <w:sz w:val="22"/>
        </w:rPr>
        <w:t>Just Cause</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(3/3): 'Accelerate computing' has been NVIDIA's north star for 32 years. This cause is resilient (survived gaming, crypto, and AI eras), inclusive (4M+ CUDA developers contributing), service-oriented (solving the world's most important computational challenges), idealistic (the vision of accelerated computing for every industry has not yet been fully achieved), and big (it spans every industry and every geography) [4]. The cause has been validated by decades of consistent execution: investing in CUDA for 17 years before AI, acquiring Mellanox for $7B to own the data center networking stack, and building DGX systems for AI training. Strategic decisions consistently trace back to this purpose. Sinek would cite this as a defining example of a Just Cause that IS the competitive advantage.</w:t>
      </w:r>
    </w:p>
    <w:p>
      <w:pPr>
        <w:spacing w:before="200" w:after="40"/>
      </w:pPr>
      <w:r>
        <w:rPr>
          <w:rFonts w:ascii="Calibri" w:hAnsi="Calibri"/>
          <w:b/>
          <w:color w:val="1A2010"/>
          <w:sz w:val="22"/>
        </w:rPr>
        <w:t>Trusting Teams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(2/2): NVIDIA ranked #1 on Glassdoor's Best Places to Work in Technology list (2026) and Jensen Huang topped the Best CEOs list, demonstrating exceptional employee sentiment [6]. Huang's 32-year CEO tenure creates unparalleled organizational stability — there has been no leadership uncertainty, no political transitions, no cultural disruptions from CEO changes. NVIDIA operates with a notably flat organizational structure for its size, where engineers can reach any leader. In the most competitive talent market in technology (AI engineers), NVIDIA retains world-class talent that competitors with higher cash compensation cannot poach, indicating employees stay for the mission and culture.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NVIDIA acknowledges AMD, Intel, Google TPU, and custom AI ASICs as competitive forces that push NVIDIA to innovate faster. Huang's competitive commentary consistently focuses on 'we need to run faster' and improving NVIDIA's own technology roadmap rather than destroying competitors [4]. The company's response to competition is always product improvement — Blackwell answered Broadcom/Google custom silicon concerns with a better product, not competitive attacks. NVIDIA's open-source contributions (cuDNN, TensorRT) and developer ecosystem support demonstrate a focus on advancing the field rather than locking it down.</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NVIDIA has fundamentally reinvented itself multiple times: gaming GPU company to professional visualization platform to crypto mining enabler to AI computing infrastructure to full-stack data center company [4]. Each pivot was transformative — the shift from gaming (70%+ of revenue) to data center (90%+ of revenue) represents a complete business model transformation comparable to Apple's Mac-to-iPhone pivot. The pivots were always driven by the Just Cause of accelerating computing, not by desperation — NVIDIA was profitable and growing during each transition. The current pivot to sovereign AI (national AI infrastructure) and robotics (Omniverse, Isaac) represents the next reinvention.</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NVIDIA invested in CUDA for 17 years before the AI boom validated the bet — the most patient long-term technology investment in modern computing history [4]. During the crypto crash (2018-2019), when GPU demand collapsed and the stock fell 50%, Huang doubled down on data center and AI rather than retreating to the profitable gaming business. The $7B Mellanox acquisition (2020) to own the data center networking stack was a bold bet that competitors questioned at the time — it now generates $7.5B+ in quarterly networking revenue [2]. The decision to focus entirely on AI computing while AMD and Intel diversified across CPUs, GPUs, and FPGAs demonstrates conviction over hedging. Pattern of choosing right over easy across multiple market cycles.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NVIDIA is the dominant infrastructure provider for the AI revolution, with Q2 FY2027 revenue of $96.2B (up 106% YoY) and $108B Q3 guidance that exceeded analyst expectations of $104.2B [3]. The company's competitive position is structurally unassailable: 90%+ AI training GPU market share, 4M+ CUDA developers creating software lock-in, and a full-stack platform from silicon to networking to software that no competitor can replicate. At a forward P/E of 18.0 and PEG of 0.37, NVIDIA trades at value-stock multiples despite 100%+ revenue growth — a remarkable disconnect between growth rate and valuation [5]. The $5.25T market cap is supported by $302.97B in TTM revenue, $192.88B in net income, and 63.66% profit margins that make NVIDIA one of the most profitable companies in history. D/E of 17% and ROE of 117% demonstrate fortress-like financial strength. Jensen Huang's forecast of 70% FY2028 revenue growth signals years of sustained demand from AI infrastructure buildout, sovereign AI, and enterprise AI adoption [3].</w:t>
      </w:r>
    </w:p>
    <w:p>
      <w:pPr>
        <w:spacing w:after="120"/>
      </w:pPr>
      <w:r>
        <w:rPr>
          <w:rFonts w:ascii="Calibri" w:hAnsi="Calibri"/>
          <w:b w:val="0"/>
          <w:color w:val="3A4A28"/>
          <w:sz w:val="20"/>
        </w:rPr>
        <w:t>The primary risk is concentration — NVIDIA's $5.25T valuation depends on AI capital spending continuing to accelerate, and any slowdown would compress the multiple rapidly. Hyperscalers (50%+ of data center revenue) are investing in custom ASICs (Google TPU, Amazon Trainium, Microsoft Maia) that could reduce NVIDIA dependence over time [3]. Export controls banning China sales (~$10B+ annually) remove a significant growth market, and potential escalation of trade restrictions could further limit TAM. The Blackwell-to-Rubin transition creates execution risk — any manufacturing delays or yield issues at TSMC could constrain supply. Gross margin guidance declining to 71-72% by Q4 FY2027 (from 75%) reflects memory cost pressures and increased product complexity [3]. The AI spending cycle is fundamentally dependent on hyperscaler ROI expectations — if AI fails to deliver the productivity gains that justify $200B+ annual data center investment, a demand correction could be severe. The 2.21 beta means NVIDIA amplifies any market downturn.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Q3 FY2027 revenue guidance of $108B (above $104.2B consensus) signals sustained AI demand acceleration, with Blackwell platform ramping to full scale and sovereign AI orders from national governments providing a new demand vector [3]</w:t>
      </w:r>
    </w:p>
    <w:p>
      <w:pPr>
        <w:spacing w:before="40" w:after="40"/>
        <w:ind w:left="283"/>
      </w:pPr>
      <w:r>
        <w:rPr>
          <w:rFonts w:ascii="Calibri" w:hAnsi="Calibri"/>
          <w:b/>
          <w:color w:val="4A6B25"/>
          <w:sz w:val="20"/>
        </w:rPr>
        <w:t xml:space="preserve">2. </w:t>
      </w:r>
      <w:r>
        <w:rPr>
          <w:rFonts w:ascii="Calibri" w:hAnsi="Calibri"/>
          <w:b w:val="0"/>
          <w:color w:val="3A4A28"/>
          <w:sz w:val="20"/>
        </w:rPr>
        <w:t>Jensen Huang's forecast of 70% FY2028 revenue growth implies $600B+ annual revenue, driven by AI model scaling laws requiring ever-more compute and the expansion from AI training to AI inference workloads [3]</w:t>
      </w:r>
    </w:p>
    <w:p>
      <w:pPr>
        <w:spacing w:before="40" w:after="40"/>
        <w:ind w:left="283"/>
      </w:pPr>
      <w:r>
        <w:rPr>
          <w:rFonts w:ascii="Calibri" w:hAnsi="Calibri"/>
          <w:b/>
          <w:color w:val="4A6B25"/>
          <w:sz w:val="20"/>
        </w:rPr>
        <w:t xml:space="preserve">3. </w:t>
      </w:r>
      <w:r>
        <w:rPr>
          <w:rFonts w:ascii="Calibri" w:hAnsi="Calibri"/>
          <w:b w:val="0"/>
          <w:color w:val="3A4A28"/>
          <w:sz w:val="20"/>
        </w:rPr>
        <w:t>Forward PEG of 0.37 at a forward P/E of 18.0 represents extreme undervaluation relative to 100%+ growth — even partial multiple expansion toward growth-stock valuations (25-30x forward) implies significant upside from the $5.25T market cap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Hyperscaler custom silicon programs (Google TPU, Amazon Trainium, Microsoft Maia) could reduce NVIDIA dependence over 3-5 years as the largest customers build internal AI chip capabilities — these customers represent 50%+ of data center revenue [3]</w:t>
      </w:r>
    </w:p>
    <w:p>
      <w:pPr>
        <w:spacing w:before="40" w:after="40"/>
        <w:ind w:left="283"/>
      </w:pPr>
      <w:r>
        <w:rPr>
          <w:rFonts w:ascii="Calibri" w:hAnsi="Calibri"/>
          <w:b/>
          <w:color w:val="4A6B25"/>
          <w:sz w:val="20"/>
        </w:rPr>
        <w:t xml:space="preserve">2. </w:t>
      </w:r>
      <w:r>
        <w:rPr>
          <w:rFonts w:ascii="Calibri" w:hAnsi="Calibri"/>
          <w:b w:val="0"/>
          <w:color w:val="3A4A28"/>
          <w:sz w:val="20"/>
        </w:rPr>
        <w:t>Gross margin compression from 75% to guided 71-72% by Q4 FY2027 reflects rising memory costs and product complexity; if margins continue declining below 70%, it challenges the narrative of permanent pricing power and software-like economics [3]</w:t>
      </w:r>
    </w:p>
    <w:p>
      <w:pPr>
        <w:spacing w:before="40" w:after="40"/>
        <w:ind w:left="283"/>
      </w:pPr>
      <w:r>
        <w:rPr>
          <w:rFonts w:ascii="Calibri" w:hAnsi="Calibri"/>
          <w:b/>
          <w:color w:val="4A6B25"/>
          <w:sz w:val="20"/>
        </w:rPr>
        <w:t xml:space="preserve">3. </w:t>
      </w:r>
      <w:r>
        <w:rPr>
          <w:rFonts w:ascii="Calibri" w:hAnsi="Calibri"/>
          <w:b w:val="0"/>
          <w:color w:val="3A4A28"/>
          <w:sz w:val="20"/>
        </w:rPr>
        <w:t>AI spending cycle concentration risk — if hyperscaler AI investments fail to deliver adequate ROI, a correction in $200B+ annual data center capital expenditure would severely impact NVIDIA's revenue trajectory given its near-total dependence on AI demand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NVIDIA IS AI infrastructure — the company builds the GPUs, networking equipment, and software platforms that AI runs on. By definition, you cannot be disrupted by the technology you are creating [2][3]. Every new AI model trained, every AI application deployed, every new data center built increases demand for NVIDIA's products. The CUDA ecosystem (4M+ developers, 17 years of investment) creates software lock-in that no competitor has replicated. AI data centers require more NVIDIA hardware — AI is not a threat, it is the entire demand driver. Export controls on China sales are a regulatory risk, not an AI disruption risk. Analysts universally view NVIDIA as the primary beneficiary, not victim, of AI adoption [4]. AI Opportunity (1/1): AI is literally the entire business. Q2 FY2027 revenue of $96.2B is almost entirely AI-driven, with data center comprising 90%+ of revenue [3]. NVIDIA generates more AI revenue than any other company in the world — this is not an 'opportunity' the company is pursuing, it is the fundamental business model. Jensen Huang forecasts 70% FY2028 revenue growth, with $108B Q3 guidance, all powered by AI demand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NVIDIA Q4 FY2026 Earnings Release — NVIDIA IR/CNBC, February 25, 2026</w:t>
      </w:r>
    </w:p>
    <w:p>
      <w:pPr>
        <w:spacing w:before="20" w:after="20"/>
        <w:ind w:left="170"/>
      </w:pPr>
      <w:r>
        <w:rPr>
          <w:rFonts w:ascii="Calibri" w:hAnsi="Calibri"/>
          <w:b/>
          <w:color w:val="4A6B25"/>
          <w:sz w:val="15"/>
        </w:rPr>
        <w:t xml:space="preserve">2. </w:t>
      </w:r>
      <w:r>
        <w:rPr>
          <w:rFonts w:ascii="Calibri" w:hAnsi="Calibri"/>
          <w:b w:val="0"/>
          <w:color w:val="3A4A28"/>
          <w:sz w:val="17"/>
        </w:rPr>
        <w:t>NVIDIA Q1 FY2027 Earnings Release — NVIDIA Newsroom, May 2026</w:t>
      </w:r>
    </w:p>
    <w:p>
      <w:pPr>
        <w:spacing w:before="20" w:after="20"/>
        <w:ind w:left="170"/>
      </w:pPr>
      <w:r>
        <w:rPr>
          <w:rFonts w:ascii="Calibri" w:hAnsi="Calibri"/>
          <w:b/>
          <w:color w:val="4A6B25"/>
          <w:sz w:val="15"/>
        </w:rPr>
        <w:t xml:space="preserve">3. </w:t>
      </w:r>
      <w:r>
        <w:rPr>
          <w:rFonts w:ascii="Calibri" w:hAnsi="Calibri"/>
          <w:b w:val="0"/>
          <w:color w:val="3A4A28"/>
          <w:sz w:val="17"/>
        </w:rPr>
        <w:t>NVIDIA Q2 FY2027 Earnings Report — CNBC, August 26, 2026</w:t>
      </w:r>
    </w:p>
    <w:p>
      <w:pPr>
        <w:spacing w:before="20" w:after="20"/>
        <w:ind w:left="170"/>
      </w:pPr>
      <w:r>
        <w:rPr>
          <w:rFonts w:ascii="Calibri" w:hAnsi="Calibri"/>
          <w:b/>
          <w:color w:val="4A6B25"/>
          <w:sz w:val="15"/>
        </w:rPr>
        <w:t xml:space="preserve">4. </w:t>
      </w:r>
      <w:r>
        <w:rPr>
          <w:rFonts w:ascii="Calibri" w:hAnsi="Calibri"/>
          <w:b w:val="0"/>
          <w:color w:val="3A4A28"/>
          <w:sz w:val="17"/>
        </w:rPr>
        <w:t>NVIDIA GTC 2026 — Jensen Huang Keynote and AI Vision, March 2026</w:t>
      </w:r>
    </w:p>
    <w:p>
      <w:pPr>
        <w:spacing w:before="20" w:after="20"/>
        <w:ind w:left="170"/>
      </w:pPr>
      <w:r>
        <w:rPr>
          <w:rFonts w:ascii="Calibri" w:hAnsi="Calibri"/>
          <w:b/>
          <w:color w:val="4A6B25"/>
          <w:sz w:val="15"/>
        </w:rPr>
        <w:t xml:space="preserve">5. </w:t>
      </w:r>
      <w:r>
        <w:rPr>
          <w:rFonts w:ascii="Calibri" w:hAnsi="Calibri"/>
          <w:b w:val="0"/>
          <w:color w:val="3A4A28"/>
          <w:sz w:val="17"/>
        </w:rPr>
        <w:t>StockAnalysis — NVDA Key Statistics and Financial Data, accessed August 2026</w:t>
      </w:r>
    </w:p>
    <w:p>
      <w:pPr>
        <w:spacing w:before="20" w:after="20"/>
        <w:ind w:left="170"/>
      </w:pPr>
      <w:r>
        <w:rPr>
          <w:rFonts w:ascii="Calibri" w:hAnsi="Calibri"/>
          <w:b/>
          <w:color w:val="4A6B25"/>
          <w:sz w:val="15"/>
        </w:rPr>
        <w:t xml:space="preserve">6. </w:t>
      </w:r>
      <w:r>
        <w:rPr>
          <w:rFonts w:ascii="Calibri" w:hAnsi="Calibri"/>
          <w:b w:val="0"/>
          <w:color w:val="3A4A28"/>
          <w:sz w:val="17"/>
        </w:rPr>
        <w:t>Glassdoor — NVIDIA CEO Jensen Huang Tops Best CEOs List 2026; #1 Best Places to Work in Technology</w:t>
      </w:r>
    </w:p>
    <w:p>
      <w:pPr>
        <w:spacing w:before="20" w:after="20"/>
        <w:ind w:left="170"/>
      </w:pPr>
      <w:r>
        <w:rPr>
          <w:rFonts w:ascii="Calibri" w:hAnsi="Calibri"/>
          <w:b/>
          <w:color w:val="4A6B25"/>
          <w:sz w:val="15"/>
        </w:rPr>
        <w:t xml:space="preserve">7. </w:t>
      </w:r>
      <w:r>
        <w:rPr>
          <w:rFonts w:ascii="Calibri" w:hAnsi="Calibri"/>
          <w:b w:val="0"/>
          <w:color w:val="3A4A28"/>
          <w:sz w:val="17"/>
        </w:rPr>
        <w:t>NVIDIA Sustainability Report FY2026 — ESG and Environmental Initiatives, nvidia.com,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