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NWG</w:t>
      </w:r>
      <w:r>
        <w:rPr>
          <w:rFonts w:ascii="Calibri" w:hAnsi="Calibri"/>
          <w:b/>
          <w:color w:val="1A2010"/>
          <w:sz w:val="40"/>
        </w:rPr>
        <w:t xml:space="preserve">  NatWest Group plc</w:t>
      </w:r>
    </w:p>
    <w:p>
      <w:pPr>
        <w:spacing w:after="120"/>
      </w:pPr>
      <w:r>
        <w:rPr>
          <w:rFonts w:ascii="Calibri" w:hAnsi="Calibri"/>
          <w:b/>
          <w:color w:val="6E8450"/>
          <w:sz w:val="18"/>
        </w:rPr>
        <w:t>DIVIDEND SLEEVE · 2026-09-01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Diversified · NYSE · United Kingdom</w:t>
      </w:r>
    </w:p>
    <w:p>
      <w:pPr>
        <w:spacing w:after="80"/>
      </w:pPr>
      <w:r>
        <w:rPr>
          <w:rFonts w:ascii="Calibri" w:hAnsi="Calibri"/>
          <w:b w:val="0"/>
          <w:color w:val="3A4A28"/>
          <w:sz w:val="20"/>
        </w:rPr>
        <w:t>NatWest Group plc is a major UK banking group providing retail, commercial, and institutional banking services through brands including NatWest, Royal Bank of Scotland, and Coutts. Formerly Royal Bank of Scotland Group, the company has transformed from a government-rescued institution to a fully independent commercial bank, with the UK government reducing its stake from 57% to below 10%. Q2 2026 results showed revenue up 14% YoY to GBP 4.36B and net income up 30% to GBP 1.60B. Trades on NYSE as an ADR, each representing two ordinary shares.</w:t>
      </w:r>
    </w:p>
    <w:p>
      <w:r>
        <w:rPr>
          <w:rFonts w:ascii="Calibri" w:hAnsi="Calibri"/>
          <w:b/>
          <w:color w:val="6E8450"/>
          <w:sz w:val="18"/>
        </w:rPr>
        <w:t>59,300 Employees · https://www.natwestgroup.com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NatWest executed a significant multi-year transformation from a government-rescued crisis bank (Royal Bank of Scotland) to a profitable, commercially independent banking group, reducing the UK government's stake from 57% to below 10% [1][6]. The 2026 acquisition of Evelyn Partners to build out a wealth management division opened a meaningful new revenue stream. However, these are restructuring and acquisition moves, not technology or product innovations. AI Deployment (1/2): NatWest's 'Digital X' division delivers technology, data, and AI solutions for customers and employees alongside security and open innovation [4]. AI is deployed in fraud detection, customer service chatbots, and risk management, but no specific dollar amounts of AI-driven revenue or cost savings have been quantified publicly. Market Share (1/2): NatWest is one of the 'Big Four' UK banks with a strong retail and commercial presence, but market share has been stable rather than growing — the bank's focus has been on stabilization and profitability recovery rather than aggressive share gains [1]. Product Pipeline (1/2): The Evelyn Partners wealth management integration provides visible near-term growth, and digital banking investments continue, but NatWest has not announced transformative next-generation products with specific launch timelines beyond incremental digital improvements [1]. R&amp;D Intensity (0/1): Technology spending is at or below the average for major European banks, which invest significantly less than pure technology companies. No evidence of top-quartile R&amp;D intensity relative to banking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NatWest's purpose centers on supporting customers and communities through banking services, which is clear but not distinctive — it could describe any retail bank [4]. The purpose does not articulate a transformative vision and was partially undermined by the Farage debanking controversy, which raised questions about whether the bank's decision-making was driven by values alignment rather than commercial factors [7]. Community Impact (1/2): NatWest has supported sustainable projects including financing the UK's largest under-construction solar and battery storage project (Cleve Hill Solar Park) and agricultural modernization initiatives, and the 2024 Sustainability Report documents systematic ESG commitments [5]. However, no specific charitable dollar amounts or foundation-level giving were identified. Employee Retention (0/2): No specific retention data, average tenure, or voluntary turnover figures were identified for NatWest's 59,300-person workforce. The abrupt CEO departure of Alison Rose in 2023 created organizational disruption, though successor Paul Thwaite has stabilized leadership since July 2024 [6]. Insider Buying (0/2): The UK government has been systematically reducing its stake from 57% to below 10%, representing sustained selling rather than buying. No evidence of meaningful executive insider buying was identified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NatWest's infrastructure reflects a profitable, well-capitalized bank with strong fundamentals. D/E of 176% scores 0.539 (between floor and target) [8]. ROE of 14.23% scores 0.949, approaching the 15% target [8]. Revenue growth YoY of 14% (Q2 2026 GBP 4.36B, up 14%) scores 1.0 [1]. Revenue growth 5yr CAGR of approximately 8% (recovery from GBP ~12B to GBP ~17.4B guidance) scores 0.847 [1][8]. Forward P/E of 8.66 scores 1.0 (well below 20 target) [8]. Profit margin of 37.7% scores 1.0 [8]. Dividend metrics: payout ratio 40% scores 1.0 (at target), consecutive years paid 5 scores 0.5 (below 10-year target, weight 2x), consecutive years growth 5 scores 0.5 (weight 1x), 5yr dividend growth CAGR approximately 40% scores 1.0 (well above 6% target, weight 2x) [3][8]. Weighted sum 9.84 / max 12 = 8.2, rounded to 8. Liquidity is excellent at $72.9M average daily dollar volume [8].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NatWest has demonstrated resilience through its multi-year transformation from the ashes of the Royal Bank of Scotland crisis, but the Farage debanking controversy in 2023 revealed institutional decision-making that prioritized reputation management over principled customer service. New CEO Paul Thwaite has stabilized leadership since July 2024, but the bank's just cause remains undefined beyond generic customer service, and the organization has not articulated a purpose that would distinguish it from any other major bank.</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NatWest's purpose of supporting customers and communities through banking is functional but shallow — it reads as standard banking industry positioning rather than a genuine Just Cause that inspires sacrifice or long-term commitment [4]. The Farage debanking controversy — where Coutts (NatWest's private banking subsidiary) closed a customer's accounts partly based on political views before claiming commercial reasons — demonstrated that values-based decision-making can become politically charged rather than principled [7]. The cause exists but functions as marketing rather than a genuine organizing principle that shapes strategic decisions (1/3 raw).</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NatWest's 59,300-person workforce has maintained stability through significant organizational turbulence, including the abrupt resignation of CEO Alison Rose in July 2023 over the Farage controversy and the subsequent appointment of Paul Thwaite as interim and then permanent CEO in July 2024 [6][7]. CFO Katie Murray's continuity since 2018 provides financial leadership stability. However, the CEO departure was disruptive to organizational trust, and the internal disclosure of customer information that precipitated Rose's resignation raised questions about data handling and internal controls. No evidence of exceptional employee empowerment or cultural distinction (1/2 raw).</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NatWest operates in a competitive UK banking market alongside Barclays, HSBC, and Lloyds Banking Group, and the acquisition of Evelyn Partners for wealth management was a direct strategic response to recognizing that competitors' strength in high-margin advisory services represented a capability gap NatWest needed to address [1]. The bank's engagement with fintech competition through digital banking investment suggests a learning-oriented rather than purely defensive competitive posture (1/1 raw).</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NatWest has evolved meaningfully from the Royal Bank of Scotland's near-collapse during the financial crisis to a profitable, commercially independent bank — shedding non-core assets, rebranding, and rebuilding trust over more than a decade [6]. The Evelyn Partners acquisition represents a strategic pivot into wealth management. However, the core business model (retail and commercial banking) has remained fundamentally unchanged, and the adaptations have been incremental responses to necessity rather than vision-driven transformations (1/2 raw).</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NatWest's leadership showed some courage in navigating the Farage aftermath — settling the dispute, replacing the CEO, and accepting institutional accountability rather than deflecting — and in committing to the Evelyn Partners acquisition to build long-term wealth management capability [1][7]. However, the Farage controversy itself revealed institutional risk aversion (closing accounts based partly on reputational concerns rather than principled policy) that is the opposite of Sinek's courageous leadership. CEO Thwaite has taken a measured, stabilizing approach rather than making bold strategic bets (1/2 raw).</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NatWest is a recovering UK banking franchise trading at a compelling 8.66x forward P/E with a 4.77% dividend yield, offering value and income in a single position [8]. Q2 2026 results demonstrated accelerating momentum — revenue up 14% YoY, net income up 30%, and full-year 2026 total income guidance raised to GBP 17.2-17.6B [1]. The UK government's reduction of its stake from 57% to below 10% removes the overhang of government ownership and signals commercial normalization [6]. The Evelyn Partners acquisition adds high-margin wealth management revenue diversification. ROE of 14.23% is approaching the 15% industry target, and the 40% payout ratio provides room for continued dividend growth — the 5-year dividend growth CAGR of approximately 40% reflects rapid recovery to normalized payout levels [3][8]. With 27 analysts and an average price target of $20.09 (19% upside from $16.90), the consensus sees further re-rating potential [8].</w:t>
      </w:r>
    </w:p>
    <w:p>
      <w:pPr>
        <w:spacing w:after="120"/>
      </w:pPr>
      <w:r>
        <w:rPr>
          <w:rFonts w:ascii="Calibri" w:hAnsi="Calibri"/>
          <w:b w:val="0"/>
          <w:color w:val="3A4A28"/>
          <w:sz w:val="20"/>
        </w:rPr>
        <w:t>The bear case centers on NatWest's lingering reputational damage from the 2023 Farage debanking controversy, which resulted in the CEO's resignation, an independent inquiry finding 'serious failings,' and a confidential settlement — with Farage reportedly exploring private criminal proceedings that could create renewed headline risk [7]. The bank's D/E of 176% reflects structural banking leverage that makes it vulnerable to UK economic downturns, credit losses, and interest rate volatility. Revenue growth is partly driven by elevated UK interest rates that could reverse if the Bank of England cuts rates, compressing net interest margins. The dividend history of only 5 consecutive years paid (resumed after years of suspension during and after the GFC) means NatWest lacks the multi-decade dividend pedigree that income investors prefer. Competition from UK neobanks (Revolut, Monzo) and AI-driven fintech could erode the digital banking advantage that NatWest is attempting to build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momentum — revenue up 14% YoY, net income up 30% YoY, full-year guidance raised to GBP 17.2-17.6B total income [1]</w:t>
      </w:r>
    </w:p>
    <w:p>
      <w:pPr>
        <w:spacing w:before="40" w:after="40"/>
        <w:ind w:left="283"/>
      </w:pPr>
      <w:r>
        <w:rPr>
          <w:rFonts w:ascii="Calibri" w:hAnsi="Calibri"/>
          <w:b/>
          <w:color w:val="4A6B25"/>
          <w:sz w:val="20"/>
        </w:rPr>
        <w:t xml:space="preserve">2. </w:t>
      </w:r>
      <w:r>
        <w:rPr>
          <w:rFonts w:ascii="Calibri" w:hAnsi="Calibri"/>
          <w:b w:val="0"/>
          <w:color w:val="3A4A28"/>
          <w:sz w:val="20"/>
        </w:rPr>
        <w:t>UK government stake reduced below 10%, removing the ownership overhang and completing the commercial independence journey [6]</w:t>
      </w:r>
    </w:p>
    <w:p>
      <w:pPr>
        <w:spacing w:before="40" w:after="40"/>
        <w:ind w:left="283"/>
      </w:pPr>
      <w:r>
        <w:rPr>
          <w:rFonts w:ascii="Calibri" w:hAnsi="Calibri"/>
          <w:b/>
          <w:color w:val="4A6B25"/>
          <w:sz w:val="20"/>
        </w:rPr>
        <w:t xml:space="preserve">3. </w:t>
      </w:r>
      <w:r>
        <w:rPr>
          <w:rFonts w:ascii="Calibri" w:hAnsi="Calibri"/>
          <w:b w:val="0"/>
          <w:color w:val="3A4A28"/>
          <w:sz w:val="20"/>
        </w:rPr>
        <w:t>Evelyn Partners wealth management acquisition diversifies revenue into high-margin advisory services, reducing dependence on net interest income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Farage debanking aftermath — potential criminal proceedings against NatWest and ongoing reputational damage from the 2023 controversy [7]</w:t>
      </w:r>
    </w:p>
    <w:p>
      <w:pPr>
        <w:spacing w:before="40" w:after="40"/>
        <w:ind w:left="283"/>
      </w:pPr>
      <w:r>
        <w:rPr>
          <w:rFonts w:ascii="Calibri" w:hAnsi="Calibri"/>
          <w:b/>
          <w:color w:val="4A6B25"/>
          <w:sz w:val="20"/>
        </w:rPr>
        <w:t xml:space="preserve">2. </w:t>
      </w:r>
      <w:r>
        <w:rPr>
          <w:rFonts w:ascii="Calibri" w:hAnsi="Calibri"/>
          <w:b w:val="0"/>
          <w:color w:val="3A4A28"/>
          <w:sz w:val="20"/>
        </w:rPr>
        <w:t>UK interest rate sensitivity — net interest margin compression if the Bank of England cuts rates could reverse the current revenue growth trajectory [1]</w:t>
      </w:r>
    </w:p>
    <w:p>
      <w:pPr>
        <w:spacing w:before="40" w:after="40"/>
        <w:ind w:left="283"/>
      </w:pPr>
      <w:r>
        <w:rPr>
          <w:rFonts w:ascii="Calibri" w:hAnsi="Calibri"/>
          <w:b/>
          <w:color w:val="4A6B25"/>
          <w:sz w:val="20"/>
        </w:rPr>
        <w:t xml:space="preserve">3. </w:t>
      </w:r>
      <w:r>
        <w:rPr>
          <w:rFonts w:ascii="Calibri" w:hAnsi="Calibri"/>
          <w:b w:val="0"/>
          <w:color w:val="3A4A28"/>
          <w:sz w:val="20"/>
        </w:rPr>
        <w:t>Fintech and neobank competition from Revolut, Monzo, and AI-driven financial services could erode market share in digital banking and payments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Traditional banking faces meaningful AI disruption pressure from digital-native neobanks (Revolut, Monzo, Starling in the UK), fintech lending platforms, and AI-powered financial services that can undercut brick-and-mortar cost structures [4]. However, NatWest benefits from substantial defensive moats — banking regulatory requirements (PRA/FCA licensing), deposit insurance guarantees, deep customer switching costs (mortgages, payroll, direct debits), and a 59,300-person physical branch network that AI cannot replicate overnight. The Evelyn Partners wealth management acquisition adds high-touch advisory services that resist AI commoditization [1]. Core banking operations are protected but the margins on commoditized services (payments, basic lending) face compression from AI-native competitors. AI Opportunity (0/1): NatWest deploys AI internally through its Digital X division for fraud detection, customer service, and risk management, but does not generate quantifiable AI-related revenue sold to external customers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NatWest Group Q2 2026 Earnings — revenue GBP 4.36B (up 14%), net income GBP 1.60B (up 30%), EPS GBP 0.20, guidance raised to GBP 17.2-17.6B total income</w:t>
      </w:r>
    </w:p>
    <w:p>
      <w:pPr>
        <w:spacing w:before="20" w:after="20"/>
        <w:ind w:left="170"/>
      </w:pPr>
      <w:r>
        <w:rPr>
          <w:rFonts w:ascii="Calibri" w:hAnsi="Calibri"/>
          <w:b/>
          <w:color w:val="4A6B25"/>
          <w:sz w:val="15"/>
        </w:rPr>
        <w:t xml:space="preserve">2. </w:t>
      </w:r>
      <w:r>
        <w:rPr>
          <w:rFonts w:ascii="Calibri" w:hAnsi="Calibri"/>
          <w:b w:val="0"/>
          <w:color w:val="3A4A28"/>
          <w:sz w:val="17"/>
        </w:rPr>
        <w:t>Simply Wall St — NatWest Group stock forecast: 6.1% revenue growth p.a., earnings CAGR 58.51% over 5 years,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 NatWest investor relations — NWG dividend history: 5 consecutive years paid, yield 4.77%, payout ratio 40%, 5yr growth rate approximately 40%,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NatWest Group corporate — Executive management team, CEO Paul Thwaite (July 2024), CFO Katie Murray (since 2018), Digital X AI division, 59,300 employees,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NatWest Group — 2024 Sustainability Report, ESG ratings upgraded to B- (ISS ESG), CDP Climate A score, Cleve Hill Solar Park financing</w:t>
      </w:r>
    </w:p>
    <w:p>
      <w:pPr>
        <w:spacing w:before="20" w:after="20"/>
        <w:ind w:left="170"/>
      </w:pPr>
      <w:r>
        <w:rPr>
          <w:rFonts w:ascii="Calibri" w:hAnsi="Calibri"/>
          <w:b/>
          <w:color w:val="4A6B25"/>
          <w:sz w:val="15"/>
        </w:rPr>
        <w:t xml:space="preserve">6. </w:t>
      </w:r>
      <w:r>
        <w:rPr>
          <w:rFonts w:ascii="Calibri" w:hAnsi="Calibri"/>
          <w:b w:val="0"/>
          <w:color w:val="3A4A28"/>
          <w:sz w:val="17"/>
        </w:rPr>
        <w:t>Wikipedia / NatWest investor relations — UK government stake reduction from 57% to below 10%, Royal Bank of Scotland to NatWest Group rebranding, accessed September 2026</w:t>
      </w:r>
    </w:p>
    <w:p>
      <w:pPr>
        <w:spacing w:before="20" w:after="20"/>
        <w:ind w:left="170"/>
      </w:pPr>
      <w:r>
        <w:rPr>
          <w:rFonts w:ascii="Calibri" w:hAnsi="Calibri"/>
          <w:b/>
          <w:color w:val="4A6B25"/>
          <w:sz w:val="15"/>
        </w:rPr>
        <w:t xml:space="preserve">7. </w:t>
      </w:r>
      <w:r>
        <w:rPr>
          <w:rFonts w:ascii="Calibri" w:hAnsi="Calibri"/>
          <w:b w:val="0"/>
          <w:color w:val="3A4A28"/>
          <w:sz w:val="17"/>
        </w:rPr>
        <w:t>FStech / GB News — NatWest and Nigel Farage debanking controversy settlement, Alison Rose resignation July 2023, independent inquiry 'serious failings,' Farage exploring criminal proceedings</w:t>
      </w:r>
    </w:p>
    <w:p>
      <w:pPr>
        <w:spacing w:before="20" w:after="20"/>
        <w:ind w:left="170"/>
      </w:pPr>
      <w:r>
        <w:rPr>
          <w:rFonts w:ascii="Calibri" w:hAnsi="Calibri"/>
          <w:b/>
          <w:color w:val="4A6B25"/>
          <w:sz w:val="15"/>
        </w:rPr>
        <w:t xml:space="preserve">8. </w:t>
      </w:r>
      <w:r>
        <w:rPr>
          <w:rFonts w:ascii="Calibri" w:hAnsi="Calibri"/>
          <w:b w:val="0"/>
          <w:color w:val="3A4A28"/>
          <w:sz w:val="17"/>
        </w:rPr>
        <w:t>StockAnalysis / Yahoo Finance / GuruFocus — NWG statistics: stock price $16.90, PE 9.17, forward PE 8.66, PEG 1.32, D/E 176%, ROE 14.23%, profit margin 37.7%, avg volume 4.31M,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